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BE5" w:rsidRPr="001856FC" w:rsidRDefault="00FB4BE5" w:rsidP="00FB4BE5">
      <w:pPr>
        <w:autoSpaceDE w:val="0"/>
        <w:autoSpaceDN w:val="0"/>
        <w:adjustRightInd w:val="0"/>
        <w:spacing w:after="0" w:line="240" w:lineRule="auto"/>
        <w:jc w:val="center"/>
        <w:rPr>
          <w:rFonts w:ascii="Times New Roman" w:hAnsi="Times New Roman" w:cs="Times New Roman"/>
          <w:b/>
          <w:sz w:val="24"/>
          <w:szCs w:val="24"/>
          <w:u w:val="single"/>
        </w:rPr>
      </w:pPr>
      <w:r w:rsidRPr="001856FC">
        <w:rPr>
          <w:rFonts w:ascii="Times New Roman" w:hAnsi="Times New Roman" w:cs="Times New Roman"/>
          <w:b/>
          <w:sz w:val="24"/>
          <w:szCs w:val="24"/>
          <w:u w:val="single"/>
        </w:rPr>
        <w:t>Licensing Requirements</w:t>
      </w:r>
    </w:p>
    <w:p w:rsidR="00FB4BE5" w:rsidRPr="00DB790F" w:rsidRDefault="00FB4BE5" w:rsidP="00FB4BE5">
      <w:pPr>
        <w:autoSpaceDE w:val="0"/>
        <w:autoSpaceDN w:val="0"/>
        <w:adjustRightInd w:val="0"/>
        <w:spacing w:after="0" w:line="240" w:lineRule="auto"/>
        <w:jc w:val="both"/>
        <w:rPr>
          <w:rFonts w:ascii="Times New Roman" w:hAnsi="Times New Roman" w:cs="Times New Roman"/>
          <w:color w:val="7030A0"/>
          <w:sz w:val="24"/>
          <w:szCs w:val="24"/>
          <w:u w:val="single"/>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While obtaining an export license for an item is the primary responsibility of the exporter, shippers also share the responsibility to ensure that the export is legal. Apart from the actual transport itself, shippers must be aware of the export/transit controls that apply to the transaction. This means that shippers must be knowledgeable of, and compliant with, licensing regulations and STC legal requirements.</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DB790F">
        <w:rPr>
          <w:rFonts w:ascii="Times New Roman" w:hAnsi="Times New Roman" w:cs="Times New Roman"/>
          <w:sz w:val="24"/>
          <w:szCs w:val="24"/>
          <w:u w:val="single"/>
        </w:rPr>
        <w:t>Licensing Requirements: Defining Export/Transit Controls</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Export/transit controls are essential for a country's national security, foreign policy, and economic interests. Effective controls involve using preventive and enforcement methods. These methods allow authorities to ensure their compliance and target violations without impeding the flow of legitimate business.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In this </w:t>
      </w:r>
      <w:r>
        <w:rPr>
          <w:rFonts w:ascii="Times New Roman" w:hAnsi="Times New Roman" w:cs="Times New Roman"/>
          <w:sz w:val="24"/>
          <w:szCs w:val="24"/>
        </w:rPr>
        <w:t>guide</w:t>
      </w:r>
      <w:r w:rsidRPr="00DB790F">
        <w:rPr>
          <w:rFonts w:ascii="Times New Roman" w:hAnsi="Times New Roman" w:cs="Times New Roman"/>
          <w:sz w:val="24"/>
          <w:szCs w:val="24"/>
        </w:rPr>
        <w:t xml:space="preserve">, references to "export/transit" include a number of circumstances under which goods leave one country destined for another. Export/transit controls are important for a country to prevent the export/transit of sensitive items, which are usually controlled by the government for concerns including: </w:t>
      </w:r>
    </w:p>
    <w:p w:rsidR="00FB4BE5" w:rsidRPr="00DB790F" w:rsidRDefault="00FB4BE5" w:rsidP="00FB4BE5">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Military or WMD applications of the item; </w:t>
      </w:r>
    </w:p>
    <w:p w:rsidR="00FB4BE5" w:rsidRPr="00DB790F" w:rsidRDefault="00FB4BE5" w:rsidP="00FB4BE5">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Destination country, organization, or individual; or </w:t>
      </w:r>
    </w:p>
    <w:p w:rsidR="00FB4BE5" w:rsidRPr="00DB790F" w:rsidRDefault="00FB4BE5" w:rsidP="00FB4BE5">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Declared or suspected end-use or the end-user of the item. </w:t>
      </w:r>
    </w:p>
    <w:p w:rsidR="00FB4BE5" w:rsidRPr="00DB790F"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FB4BE5" w:rsidRPr="00DB790F" w:rsidRDefault="00FB4BE5" w:rsidP="00FB4BE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b/>
          <w:sz w:val="24"/>
          <w:szCs w:val="24"/>
        </w:rPr>
        <w:t>Export:</w:t>
      </w:r>
      <w:r w:rsidRPr="00DB790F">
        <w:rPr>
          <w:rFonts w:ascii="Times New Roman" w:hAnsi="Times New Roman" w:cs="Times New Roman"/>
          <w:sz w:val="24"/>
          <w:szCs w:val="24"/>
        </w:rPr>
        <w:t xml:space="preserve"> Shipment or transmission of items out of the country, to a foreign country. </w:t>
      </w:r>
    </w:p>
    <w:p w:rsidR="00FB4BE5" w:rsidRPr="00DB790F" w:rsidRDefault="00FB4BE5" w:rsidP="00FB4BE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b/>
          <w:sz w:val="24"/>
          <w:szCs w:val="24"/>
        </w:rPr>
        <w:t>Re-Export:</w:t>
      </w:r>
      <w:r w:rsidRPr="00DB790F">
        <w:rPr>
          <w:rFonts w:ascii="Times New Roman" w:hAnsi="Times New Roman" w:cs="Times New Roman"/>
          <w:sz w:val="24"/>
          <w:szCs w:val="24"/>
        </w:rPr>
        <w:t xml:space="preserve"> Export of previously imported items. </w:t>
      </w:r>
    </w:p>
    <w:p w:rsidR="00FB4BE5" w:rsidRPr="00DB790F" w:rsidRDefault="00FB4BE5" w:rsidP="00FB4BE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b/>
          <w:sz w:val="24"/>
          <w:szCs w:val="24"/>
        </w:rPr>
        <w:t>Transit:</w:t>
      </w:r>
      <w:r w:rsidRPr="00DB790F">
        <w:rPr>
          <w:rFonts w:ascii="Times New Roman" w:hAnsi="Times New Roman" w:cs="Times New Roman"/>
          <w:sz w:val="24"/>
          <w:szCs w:val="24"/>
        </w:rPr>
        <w:t xml:space="preserve"> Imported items </w:t>
      </w:r>
      <w:proofErr w:type="spellStart"/>
      <w:r w:rsidRPr="00DB790F">
        <w:rPr>
          <w:rFonts w:ascii="Times New Roman" w:hAnsi="Times New Roman" w:cs="Times New Roman"/>
          <w:sz w:val="24"/>
          <w:szCs w:val="24"/>
        </w:rPr>
        <w:t>en</w:t>
      </w:r>
      <w:proofErr w:type="spellEnd"/>
      <w:r w:rsidRPr="00DB790F">
        <w:rPr>
          <w:rFonts w:ascii="Times New Roman" w:hAnsi="Times New Roman" w:cs="Times New Roman"/>
          <w:sz w:val="24"/>
          <w:szCs w:val="24"/>
        </w:rPr>
        <w:t xml:space="preserve"> route to another foreign destination, but they stay onboard their means of conveyance. These items do not have a consignee in the country of transit. </w:t>
      </w:r>
    </w:p>
    <w:p w:rsidR="00FB4BE5" w:rsidRPr="00B82045" w:rsidRDefault="00FB4BE5" w:rsidP="00FB4BE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b/>
          <w:sz w:val="24"/>
          <w:szCs w:val="24"/>
        </w:rPr>
        <w:t>Transshipment:</w:t>
      </w:r>
      <w:r w:rsidRPr="00DB790F">
        <w:rPr>
          <w:rFonts w:ascii="Times New Roman" w:hAnsi="Times New Roman" w:cs="Times New Roman"/>
          <w:sz w:val="24"/>
          <w:szCs w:val="24"/>
        </w:rPr>
        <w:t xml:space="preserve"> Imported items that are temporarily unloaded in a country and then reloaded onto the same or another vessel, aircraft, or vehicle, and exported. Like transit items, these items do not have a consignee in the country of transshipment.</w:t>
      </w:r>
      <w:r>
        <w:rPr>
          <w:rFonts w:ascii="Times New Roman" w:hAnsi="Times New Roman" w:cs="Times New Roman"/>
          <w:sz w:val="24"/>
          <w:szCs w:val="24"/>
          <w:u w:val="single"/>
        </w:rPr>
        <w:br w:type="page"/>
      </w:r>
    </w:p>
    <w:p w:rsidR="00FB4BE5" w:rsidRPr="00DB790F"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color w:val="7030A0"/>
          <w:sz w:val="24"/>
          <w:szCs w:val="24"/>
        </w:rPr>
      </w:pPr>
      <w:r w:rsidRPr="00DB790F">
        <w:rPr>
          <w:rFonts w:ascii="Times New Roman" w:hAnsi="Times New Roman" w:cs="Times New Roman"/>
          <w:sz w:val="24"/>
          <w:szCs w:val="24"/>
          <w:u w:val="single"/>
        </w:rPr>
        <w:lastRenderedPageBreak/>
        <w:t>Licensing Requirements: Requirement for Export/Transit Controls</w:t>
      </w:r>
      <w:r w:rsidRPr="00DB790F">
        <w:rPr>
          <w:rFonts w:ascii="Times New Roman" w:hAnsi="Times New Roman" w:cs="Times New Roman"/>
          <w:sz w:val="24"/>
          <w:szCs w:val="24"/>
        </w:rPr>
        <w:t xml:space="preserve">    </w:t>
      </w: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DB790F">
        <w:rPr>
          <w:rFonts w:ascii="Times New Roman" w:hAnsi="Times New Roman" w:cs="Times New Roman"/>
          <w:sz w:val="24"/>
          <w:szCs w:val="24"/>
        </w:rPr>
        <w:t xml:space="preserve">It is imperative that a country have both the legal authority and capability to deter, identify, and halt any transfer to end-uses or end-users of proliferation concern - even if the transfer is authorized by another state and only transiting your country. </w:t>
      </w: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DB790F">
        <w:rPr>
          <w:rFonts w:ascii="Times New Roman" w:hAnsi="Times New Roman" w:cs="Times New Roman"/>
          <w:noProof/>
          <w:sz w:val="24"/>
          <w:szCs w:val="24"/>
        </w:rPr>
        <w:drawing>
          <wp:anchor distT="0" distB="0" distL="114300" distR="114300" simplePos="0" relativeHeight="251659264" behindDoc="0" locked="0" layoutInCell="1" allowOverlap="1" wp14:anchorId="178FE4A4" wp14:editId="06431A29">
            <wp:simplePos x="0" y="0"/>
            <wp:positionH relativeFrom="margin">
              <wp:posOffset>3095625</wp:posOffset>
            </wp:positionH>
            <wp:positionV relativeFrom="margin">
              <wp:posOffset>1019175</wp:posOffset>
            </wp:positionV>
            <wp:extent cx="2854960" cy="147066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4.bmp"/>
                    <pic:cNvPicPr/>
                  </pic:nvPicPr>
                  <pic:blipFill>
                    <a:blip r:embed="rId9">
                      <a:extLst>
                        <a:ext uri="{28A0092B-C50C-407E-A947-70E740481C1C}">
                          <a14:useLocalDpi xmlns:a14="http://schemas.microsoft.com/office/drawing/2010/main" val="0"/>
                        </a:ext>
                      </a:extLst>
                    </a:blip>
                    <a:stretch>
                      <a:fillRect/>
                    </a:stretch>
                  </pic:blipFill>
                  <pic:spPr>
                    <a:xfrm>
                      <a:off x="0" y="0"/>
                      <a:ext cx="2854960" cy="1470660"/>
                    </a:xfrm>
                    <a:prstGeom prst="rect">
                      <a:avLst/>
                    </a:prstGeom>
                  </pic:spPr>
                </pic:pic>
              </a:graphicData>
            </a:graphic>
            <wp14:sizeRelH relativeFrom="margin">
              <wp14:pctWidth>0</wp14:pctWidth>
            </wp14:sizeRelH>
            <wp14:sizeRelV relativeFrom="margin">
              <wp14:pctHeight>0</wp14:pctHeight>
            </wp14:sizeRelV>
          </wp:anchor>
        </w:drawing>
      </w: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b/>
          <w:sz w:val="24"/>
          <w:szCs w:val="24"/>
        </w:rPr>
      </w:pPr>
      <w:r w:rsidRPr="00DB790F">
        <w:rPr>
          <w:rFonts w:ascii="Times New Roman" w:hAnsi="Times New Roman" w:cs="Times New Roman"/>
          <w:b/>
          <w:sz w:val="24"/>
          <w:szCs w:val="24"/>
        </w:rPr>
        <w:t xml:space="preserve">Export/Transit controls are: </w:t>
      </w:r>
    </w:p>
    <w:p w:rsidR="00FB4BE5" w:rsidRPr="00DB790F" w:rsidRDefault="00FB4BE5" w:rsidP="00FB4BE5">
      <w:pPr>
        <w:pStyle w:val="ListParagraph"/>
        <w:numPr>
          <w:ilvl w:val="0"/>
          <w:numId w:val="15"/>
        </w:numPr>
        <w:autoSpaceDE w:val="0"/>
        <w:autoSpaceDN w:val="0"/>
        <w:adjustRightInd w:val="0"/>
        <w:spacing w:before="24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Mandated by the UN </w:t>
      </w:r>
      <w:r>
        <w:rPr>
          <w:rFonts w:ascii="Times New Roman" w:hAnsi="Times New Roman" w:cs="Times New Roman"/>
          <w:sz w:val="24"/>
          <w:szCs w:val="24"/>
        </w:rPr>
        <w:t xml:space="preserve">to prevent the proliferation of </w:t>
      </w:r>
      <w:r w:rsidRPr="00DB790F">
        <w:rPr>
          <w:rFonts w:ascii="Times New Roman" w:hAnsi="Times New Roman" w:cs="Times New Roman"/>
          <w:sz w:val="24"/>
          <w:szCs w:val="24"/>
        </w:rPr>
        <w:t xml:space="preserve">WMD </w:t>
      </w:r>
    </w:p>
    <w:p w:rsidR="00FB4BE5" w:rsidRPr="00DB790F" w:rsidRDefault="00FB4BE5" w:rsidP="00FB4BE5">
      <w:pPr>
        <w:pStyle w:val="ListParagraph"/>
        <w:numPr>
          <w:ilvl w:val="0"/>
          <w:numId w:val="15"/>
        </w:numPr>
        <w:autoSpaceDE w:val="0"/>
        <w:autoSpaceDN w:val="0"/>
        <w:adjustRightInd w:val="0"/>
        <w:spacing w:before="120" w:after="120" w:line="240" w:lineRule="auto"/>
        <w:ind w:right="3600"/>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Accepted international standards and best practices in the international trade community </w:t>
      </w:r>
    </w:p>
    <w:p w:rsidR="00FB4BE5" w:rsidRPr="00DB790F" w:rsidRDefault="00FB4BE5" w:rsidP="00FB4BE5">
      <w:pPr>
        <w:pStyle w:val="ListParagraph"/>
        <w:numPr>
          <w:ilvl w:val="0"/>
          <w:numId w:val="15"/>
        </w:numPr>
        <w:autoSpaceDE w:val="0"/>
        <w:autoSpaceDN w:val="0"/>
        <w:adjustRightInd w:val="0"/>
        <w:spacing w:before="120" w:after="0" w:line="240" w:lineRule="auto"/>
        <w:ind w:right="3600"/>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Most effective when they are harmonized </w:t>
      </w:r>
    </w:p>
    <w:p w:rsidR="00FB4BE5" w:rsidRPr="00DB790F" w:rsidRDefault="00FB4BE5" w:rsidP="00FB4BE5">
      <w:pPr>
        <w:pStyle w:val="ListParagraph"/>
        <w:autoSpaceDE w:val="0"/>
        <w:autoSpaceDN w:val="0"/>
        <w:adjustRightInd w:val="0"/>
        <w:spacing w:after="120" w:line="240" w:lineRule="auto"/>
        <w:ind w:left="0" w:right="3600"/>
        <w:contextualSpacing w:val="0"/>
        <w:jc w:val="both"/>
        <w:rPr>
          <w:rFonts w:ascii="Times New Roman" w:hAnsi="Times New Roman" w:cs="Times New Roman"/>
          <w:sz w:val="24"/>
          <w:szCs w:val="24"/>
        </w:rPr>
      </w:pPr>
    </w:p>
    <w:p w:rsidR="00FB4BE5" w:rsidRDefault="00FB4BE5" w:rsidP="00FB4BE5">
      <w:pPr>
        <w:pStyle w:val="ListParagraph"/>
        <w:autoSpaceDE w:val="0"/>
        <w:autoSpaceDN w:val="0"/>
        <w:adjustRightInd w:val="0"/>
        <w:spacing w:after="120" w:line="240" w:lineRule="auto"/>
        <w:ind w:left="0"/>
        <w:contextualSpacing w:val="0"/>
        <w:jc w:val="both"/>
        <w:rPr>
          <w:rFonts w:ascii="Times New Roman" w:hAnsi="Times New Roman" w:cs="Times New Roman"/>
          <w:b/>
          <w:sz w:val="24"/>
          <w:szCs w:val="24"/>
          <w:u w:val="single"/>
        </w:rPr>
      </w:pPr>
      <w:r w:rsidRPr="006571FF">
        <w:rPr>
          <w:rFonts w:ascii="Times New Roman" w:hAnsi="Times New Roman" w:cs="Times New Roman"/>
          <w:b/>
          <w:sz w:val="24"/>
          <w:szCs w:val="24"/>
        </w:rPr>
        <w:t>Let us now look at the role of national and EU legislation, and UNSCR 1540 in export/transit controls in detail.</w:t>
      </w:r>
      <w:r w:rsidRPr="006571FF">
        <w:rPr>
          <w:rFonts w:ascii="Times New Roman" w:hAnsi="Times New Roman" w:cs="Times New Roman"/>
          <w:b/>
          <w:sz w:val="24"/>
          <w:szCs w:val="24"/>
          <w:u w:val="single"/>
        </w:rPr>
        <w:t xml:space="preserve"> </w:t>
      </w:r>
    </w:p>
    <w:p w:rsidR="00FB4BE5" w:rsidRDefault="00FB4BE5" w:rsidP="00FB4BE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u w:val="single"/>
        </w:rPr>
      </w:pPr>
      <w:r w:rsidRPr="00DB790F">
        <w:rPr>
          <w:rFonts w:ascii="Times New Roman" w:hAnsi="Times New Roman" w:cs="Times New Roman"/>
          <w:sz w:val="24"/>
          <w:szCs w:val="24"/>
          <w:u w:val="single"/>
        </w:rPr>
        <w:lastRenderedPageBreak/>
        <w:t>Licensing Requirements: United Nations Security Council Resolution 1540</w:t>
      </w:r>
    </w:p>
    <w:p w:rsidR="00FB4BE5" w:rsidRPr="00DB790F" w:rsidRDefault="00FB4BE5" w:rsidP="00FB4BE5">
      <w:pPr>
        <w:pStyle w:val="ListParagraph"/>
        <w:autoSpaceDE w:val="0"/>
        <w:autoSpaceDN w:val="0"/>
        <w:adjustRightInd w:val="0"/>
        <w:spacing w:before="120" w:after="120" w:line="240" w:lineRule="auto"/>
        <w:ind w:left="0" w:right="3600"/>
        <w:jc w:val="both"/>
        <w:rPr>
          <w:rFonts w:ascii="Times New Roman" w:hAnsi="Times New Roman" w:cs="Times New Roman"/>
          <w:sz w:val="24"/>
          <w:szCs w:val="24"/>
        </w:rPr>
      </w:pPr>
    </w:p>
    <w:p w:rsidR="00FB4BE5" w:rsidRPr="00DB790F" w:rsidRDefault="00FB4BE5" w:rsidP="00FB4BE5">
      <w:pPr>
        <w:pStyle w:val="ListParagraph"/>
        <w:autoSpaceDE w:val="0"/>
        <w:autoSpaceDN w:val="0"/>
        <w:adjustRightInd w:val="0"/>
        <w:spacing w:before="120" w:after="120" w:line="240" w:lineRule="auto"/>
        <w:ind w:left="0"/>
        <w:contextualSpacing w:val="0"/>
        <w:jc w:val="both"/>
        <w:rPr>
          <w:rFonts w:ascii="Times New Roman" w:hAnsi="Times New Roman" w:cs="Times New Roman"/>
          <w:sz w:val="24"/>
          <w:szCs w:val="24"/>
        </w:rPr>
      </w:pPr>
      <w:hyperlink r:id="rId10" w:history="1">
        <w:r w:rsidRPr="00DB790F">
          <w:rPr>
            <w:rStyle w:val="Hyperlink"/>
            <w:rFonts w:ascii="Times New Roman" w:hAnsi="Times New Roman" w:cs="Times New Roman"/>
            <w:sz w:val="24"/>
            <w:szCs w:val="24"/>
          </w:rPr>
          <w:t>United Nations Security Council Resolution (UNSCR) 1540</w:t>
        </w:r>
      </w:hyperlink>
      <w:r w:rsidRPr="00DB790F">
        <w:rPr>
          <w:rFonts w:ascii="Times New Roman" w:hAnsi="Times New Roman" w:cs="Times New Roman"/>
          <w:sz w:val="24"/>
          <w:szCs w:val="24"/>
        </w:rPr>
        <w:t xml:space="preserve"> was unanimously adopted in April 2004, in response to growing concerns of terrorism, illicit trafficking, and proliferation. UNSCR 1540 requires all UN members to: </w:t>
      </w:r>
    </w:p>
    <w:p w:rsidR="00FB4BE5" w:rsidRPr="00375054" w:rsidRDefault="00FB4BE5" w:rsidP="00FB4BE5">
      <w:pPr>
        <w:pStyle w:val="ListParagraph"/>
        <w:numPr>
          <w:ilvl w:val="0"/>
          <w:numId w:val="16"/>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375054">
        <w:rPr>
          <w:rFonts w:ascii="Times New Roman" w:hAnsi="Times New Roman" w:cs="Times New Roman"/>
          <w:sz w:val="24"/>
          <w:szCs w:val="24"/>
        </w:rPr>
        <w:t xml:space="preserve">Adopt national legislation to control the manufacture, possession, and trafficking of WMD and their means of delivery </w:t>
      </w:r>
    </w:p>
    <w:p w:rsidR="00FB4BE5" w:rsidRPr="00DB790F" w:rsidRDefault="00FB4BE5" w:rsidP="00FB4BE5">
      <w:pPr>
        <w:pStyle w:val="ListParagraph"/>
        <w:numPr>
          <w:ilvl w:val="0"/>
          <w:numId w:val="16"/>
        </w:numPr>
        <w:autoSpaceDE w:val="0"/>
        <w:autoSpaceDN w:val="0"/>
        <w:adjustRightInd w:val="0"/>
        <w:spacing w:after="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Develop and maintain </w:t>
      </w:r>
      <w:r w:rsidRPr="00DB790F">
        <w:rPr>
          <w:rFonts w:ascii="Times New Roman" w:hAnsi="Times New Roman" w:cs="Times New Roman"/>
          <w:b/>
          <w:sz w:val="24"/>
          <w:szCs w:val="24"/>
        </w:rPr>
        <w:t>effective national export, re-export, transshipment, and transit controls over such items,</w:t>
      </w:r>
      <w:r w:rsidRPr="00DB790F">
        <w:rPr>
          <w:rFonts w:ascii="Times New Roman" w:hAnsi="Times New Roman" w:cs="Times New Roman"/>
          <w:sz w:val="24"/>
          <w:szCs w:val="24"/>
        </w:rPr>
        <w:t xml:space="preserve"> including controls on providing funds and services regarding export and transshipment </w:t>
      </w:r>
    </w:p>
    <w:p w:rsidR="00FB4BE5" w:rsidRPr="00DB790F" w:rsidRDefault="00FB4BE5" w:rsidP="00FB4BE5">
      <w:pPr>
        <w:spacing w:after="0" w:line="240" w:lineRule="auto"/>
        <w:rPr>
          <w:rFonts w:ascii="Times New Roman" w:hAnsi="Times New Roman" w:cs="Times New Roman"/>
          <w:sz w:val="24"/>
          <w:szCs w:val="24"/>
          <w:u w:val="single"/>
        </w:rPr>
      </w:pPr>
    </w:p>
    <w:p w:rsidR="00FB4BE5" w:rsidRPr="00DB790F"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sz w:val="24"/>
          <w:szCs w:val="24"/>
          <w:u w:val="single"/>
        </w:rPr>
        <w:t>Licensing Requirements: EU Regulatory Requirements</w:t>
      </w:r>
      <w:r w:rsidRPr="00DB790F">
        <w:rPr>
          <w:rFonts w:ascii="Times New Roman" w:hAnsi="Times New Roman" w:cs="Times New Roman"/>
          <w:sz w:val="24"/>
          <w:szCs w:val="24"/>
        </w:rPr>
        <w:t xml:space="preserve">      </w:t>
      </w: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6571FF">
        <w:rPr>
          <w:rFonts w:ascii="Times New Roman" w:hAnsi="Times New Roman" w:cs="Times New Roman"/>
          <w:sz w:val="24"/>
          <w:szCs w:val="24"/>
        </w:rPr>
        <w:t>In the EU, shippers</w:t>
      </w:r>
      <w:r w:rsidRPr="00DB790F">
        <w:rPr>
          <w:rFonts w:ascii="Times New Roman" w:hAnsi="Times New Roman" w:cs="Times New Roman"/>
          <w:sz w:val="24"/>
          <w:szCs w:val="24"/>
        </w:rPr>
        <w:t xml:space="preserve"> have compliance responsibilities under the EU Regulations even when their actions are dependent upon information or instructions given by those who use their services. Chapter I, Article 2 of the </w:t>
      </w:r>
      <w:r w:rsidRPr="006571FF">
        <w:rPr>
          <w:rFonts w:ascii="Times New Roman" w:hAnsi="Times New Roman" w:cs="Times New Roman"/>
          <w:b/>
          <w:i/>
          <w:sz w:val="24"/>
          <w:szCs w:val="24"/>
        </w:rPr>
        <w:t>COUNCIL REGULATION (EC) No 428/2009 of 5 May 2009</w:t>
      </w:r>
      <w:r w:rsidRPr="00DB790F">
        <w:rPr>
          <w:rFonts w:ascii="Times New Roman" w:hAnsi="Times New Roman" w:cs="Times New Roman"/>
          <w:i/>
          <w:sz w:val="24"/>
          <w:szCs w:val="24"/>
        </w:rPr>
        <w:t xml:space="preserve"> </w:t>
      </w:r>
      <w:r w:rsidRPr="00DB790F">
        <w:rPr>
          <w:rFonts w:ascii="Times New Roman" w:hAnsi="Times New Roman" w:cs="Times New Roman"/>
          <w:sz w:val="24"/>
          <w:szCs w:val="24"/>
        </w:rPr>
        <w:t xml:space="preserve">setting up a Community regime for the control of exports, transfer, brokering and transit of dual-use provides the following definition of </w:t>
      </w: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rsidR="00FB4BE5" w:rsidRPr="00DB790F"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DB790F">
        <w:rPr>
          <w:rFonts w:ascii="Times New Roman" w:hAnsi="Times New Roman" w:cs="Times New Roman"/>
          <w:sz w:val="24"/>
          <w:szCs w:val="24"/>
        </w:rPr>
        <w:t>"</w:t>
      </w:r>
      <w:r w:rsidRPr="00DB790F">
        <w:rPr>
          <w:rFonts w:ascii="Times New Roman" w:hAnsi="Times New Roman" w:cs="Times New Roman"/>
          <w:b/>
          <w:sz w:val="24"/>
          <w:szCs w:val="24"/>
        </w:rPr>
        <w:t>Exporter</w:t>
      </w:r>
      <w:r w:rsidRPr="00DB790F">
        <w:rPr>
          <w:rFonts w:ascii="Times New Roman" w:hAnsi="Times New Roman" w:cs="Times New Roman"/>
          <w:sz w:val="24"/>
          <w:szCs w:val="24"/>
        </w:rPr>
        <w:t>," to include shippers: ... "</w:t>
      </w:r>
      <w:proofErr w:type="gramStart"/>
      <w:r w:rsidRPr="00DB790F">
        <w:rPr>
          <w:rFonts w:ascii="Times New Roman" w:hAnsi="Times New Roman" w:cs="Times New Roman"/>
          <w:sz w:val="24"/>
          <w:szCs w:val="24"/>
        </w:rPr>
        <w:t>exporter</w:t>
      </w:r>
      <w:proofErr w:type="gramEnd"/>
      <w:r w:rsidRPr="00DB790F">
        <w:rPr>
          <w:rFonts w:ascii="Times New Roman" w:hAnsi="Times New Roman" w:cs="Times New Roman"/>
          <w:sz w:val="24"/>
          <w:szCs w:val="24"/>
        </w:rPr>
        <w:t>" shall mean any natural or legal person or partnership:</w:t>
      </w:r>
    </w:p>
    <w:p w:rsidR="00FB4BE5" w:rsidRPr="00DB790F" w:rsidRDefault="00FB4BE5" w:rsidP="00FB4BE5">
      <w:pPr>
        <w:pStyle w:val="ListParagraph"/>
        <w:numPr>
          <w:ilvl w:val="0"/>
          <w:numId w:val="24"/>
        </w:numPr>
        <w:autoSpaceDE w:val="0"/>
        <w:autoSpaceDN w:val="0"/>
        <w:adjustRightInd w:val="0"/>
        <w:spacing w:before="240" w:after="120" w:line="240" w:lineRule="auto"/>
        <w:ind w:left="720"/>
        <w:contextualSpacing w:val="0"/>
        <w:jc w:val="both"/>
        <w:rPr>
          <w:rFonts w:ascii="Times New Roman" w:hAnsi="Times New Roman" w:cs="Times New Roman"/>
          <w:sz w:val="24"/>
          <w:szCs w:val="24"/>
        </w:rPr>
      </w:pPr>
      <w:r w:rsidRPr="00DB790F">
        <w:rPr>
          <w:rFonts w:ascii="Times New Roman" w:hAnsi="Times New Roman" w:cs="Times New Roman"/>
          <w:sz w:val="24"/>
          <w:szCs w:val="24"/>
        </w:rPr>
        <w:t>On whose behalf an export declaration is made, that is to say t</w:t>
      </w:r>
      <w:r w:rsidRPr="00DB790F">
        <w:rPr>
          <w:rFonts w:ascii="Times New Roman" w:hAnsi="Times New Roman" w:cs="Times New Roman"/>
          <w:b/>
          <w:sz w:val="24"/>
          <w:szCs w:val="24"/>
        </w:rPr>
        <w:t xml:space="preserve">he person who, at the time when the declaration is accepted, holds the contract with the consignee in the third country and has the power for determining the sending of the item out of the customs territory </w:t>
      </w:r>
      <w:r w:rsidRPr="00DB790F">
        <w:rPr>
          <w:rFonts w:ascii="Times New Roman" w:hAnsi="Times New Roman" w:cs="Times New Roman"/>
          <w:sz w:val="24"/>
          <w:szCs w:val="24"/>
        </w:rPr>
        <w:t xml:space="preserve">of the Community. If no export contract has been concluded or if the holder of the contract does not act on its own behalf, </w:t>
      </w:r>
      <w:r w:rsidRPr="00DB790F">
        <w:rPr>
          <w:rFonts w:ascii="Times New Roman" w:hAnsi="Times New Roman" w:cs="Times New Roman"/>
          <w:b/>
          <w:sz w:val="24"/>
          <w:szCs w:val="24"/>
        </w:rPr>
        <w:t>the exporter shall mean the person who has the power for determining the sending of the item out of the customs territory</w:t>
      </w:r>
      <w:r w:rsidRPr="00DB790F">
        <w:rPr>
          <w:rFonts w:ascii="Times New Roman" w:hAnsi="Times New Roman" w:cs="Times New Roman"/>
          <w:sz w:val="24"/>
          <w:szCs w:val="24"/>
        </w:rPr>
        <w:t xml:space="preserve"> of the Community;  </w:t>
      </w:r>
    </w:p>
    <w:p w:rsidR="00FB4BE5" w:rsidRPr="00DB790F" w:rsidRDefault="00FB4BE5" w:rsidP="00FB4BE5">
      <w:pPr>
        <w:pStyle w:val="ListParagraph"/>
        <w:numPr>
          <w:ilvl w:val="0"/>
          <w:numId w:val="24"/>
        </w:numPr>
        <w:autoSpaceDE w:val="0"/>
        <w:autoSpaceDN w:val="0"/>
        <w:adjustRightInd w:val="0"/>
        <w:spacing w:before="120" w:after="0" w:line="24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W</w:t>
      </w:r>
      <w:r w:rsidRPr="00DB790F">
        <w:rPr>
          <w:rFonts w:ascii="Times New Roman" w:hAnsi="Times New Roman" w:cs="Times New Roman"/>
          <w:sz w:val="24"/>
          <w:szCs w:val="24"/>
        </w:rPr>
        <w:t xml:space="preserve">here the benefit of a right to dispose of the dual-use item belongs to a person established outside the Community pursuant to the contract on which the export is based, </w:t>
      </w:r>
      <w:r w:rsidRPr="00DB790F">
        <w:rPr>
          <w:rFonts w:ascii="Times New Roman" w:hAnsi="Times New Roman" w:cs="Times New Roman"/>
          <w:b/>
          <w:sz w:val="24"/>
          <w:szCs w:val="24"/>
        </w:rPr>
        <w:t>the exporter shall be considered to be the contracting party</w:t>
      </w:r>
      <w:r w:rsidRPr="00DB790F">
        <w:rPr>
          <w:rFonts w:ascii="Times New Roman" w:hAnsi="Times New Roman" w:cs="Times New Roman"/>
          <w:sz w:val="24"/>
          <w:szCs w:val="24"/>
        </w:rPr>
        <w:t xml:space="preserve"> established in the Community; </w:t>
      </w:r>
    </w:p>
    <w:p w:rsidR="00FB4BE5" w:rsidRPr="00DB790F"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FB4BE5" w:rsidRPr="00DB790F"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Shippers are responsible for the representations they make in filing export data. No person, including an agent, may proceed with any transaction knowing that a violation of the EU Regulations has, is about to, or is intended to occur. </w:t>
      </w:r>
      <w:r w:rsidRPr="00DB790F">
        <w:rPr>
          <w:rFonts w:ascii="Times New Roman" w:hAnsi="Times New Roman" w:cs="Times New Roman"/>
          <w:b/>
          <w:sz w:val="24"/>
          <w:szCs w:val="24"/>
        </w:rPr>
        <w:t>It is the agent's responsibility to understand its obligations.</w:t>
      </w:r>
      <w:r w:rsidRPr="00DB790F">
        <w:rPr>
          <w:rFonts w:ascii="Times New Roman" w:hAnsi="Times New Roman" w:cs="Times New Roman"/>
          <w:sz w:val="24"/>
          <w:szCs w:val="24"/>
        </w:rPr>
        <w:t xml:space="preserve"> </w:t>
      </w:r>
      <w:r w:rsidRPr="00DB790F">
        <w:rPr>
          <w:rFonts w:ascii="Times New Roman" w:hAnsi="Times New Roman" w:cs="Times New Roman"/>
          <w:b/>
          <w:sz w:val="24"/>
          <w:szCs w:val="24"/>
        </w:rPr>
        <w:t>Shippers may also be subject to criminal prosecution and/or administrative penalties for violations of the EU Regulations</w:t>
      </w:r>
      <w:r w:rsidRPr="00DB790F">
        <w:rPr>
          <w:rFonts w:ascii="Times New Roman" w:hAnsi="Times New Roman" w:cs="Times New Roman"/>
          <w:sz w:val="24"/>
          <w:szCs w:val="24"/>
        </w:rPr>
        <w:t>.</w:t>
      </w:r>
    </w:p>
    <w:p w:rsidR="00FB4BE5" w:rsidRPr="00DB790F"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FB4BE5"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color w:val="0070C0"/>
          <w:sz w:val="24"/>
          <w:szCs w:val="24"/>
        </w:rPr>
      </w:pPr>
      <w:r w:rsidRPr="00DB790F">
        <w:rPr>
          <w:rFonts w:ascii="Times New Roman" w:hAnsi="Times New Roman" w:cs="Times New Roman"/>
          <w:b/>
          <w:color w:val="0070C0"/>
          <w:sz w:val="24"/>
          <w:szCs w:val="24"/>
        </w:rPr>
        <w:t>[Insert the name of your country</w:t>
      </w:r>
      <w:r w:rsidRPr="00DB790F">
        <w:rPr>
          <w:rFonts w:ascii="Times New Roman" w:hAnsi="Times New Roman" w:cs="Times New Roman"/>
          <w:color w:val="0070C0"/>
          <w:sz w:val="24"/>
          <w:szCs w:val="24"/>
        </w:rPr>
        <w:t>]</w:t>
      </w:r>
    </w:p>
    <w:p w:rsidR="00FB4BE5" w:rsidRPr="00375054"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color w:val="0070C0"/>
          <w:sz w:val="24"/>
          <w:szCs w:val="24"/>
        </w:rPr>
      </w:pPr>
    </w:p>
    <w:p w:rsidR="00FB4BE5" w:rsidRPr="00375054"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DB790F">
        <w:rPr>
          <w:rFonts w:ascii="Times New Roman" w:hAnsi="Times New Roman" w:cs="Times New Roman"/>
          <w:sz w:val="24"/>
          <w:szCs w:val="24"/>
        </w:rPr>
        <w:t>[</w:t>
      </w:r>
      <w:r w:rsidRPr="00DB790F">
        <w:rPr>
          <w:rFonts w:ascii="Times New Roman" w:hAnsi="Times New Roman" w:cs="Times New Roman"/>
          <w:color w:val="0070C0"/>
          <w:sz w:val="24"/>
          <w:szCs w:val="24"/>
        </w:rPr>
        <w:t>Insert national definitions of “exporter</w:t>
      </w:r>
      <w:r>
        <w:rPr>
          <w:rFonts w:ascii="Times New Roman" w:hAnsi="Times New Roman" w:cs="Times New Roman"/>
          <w:color w:val="0070C0"/>
          <w:sz w:val="24"/>
          <w:szCs w:val="24"/>
        </w:rPr>
        <w:t xml:space="preserve">” </w:t>
      </w:r>
      <w:r w:rsidRPr="00DB790F">
        <w:rPr>
          <w:rFonts w:ascii="Times New Roman" w:hAnsi="Times New Roman" w:cs="Times New Roman"/>
          <w:color w:val="0070C0"/>
          <w:sz w:val="24"/>
          <w:szCs w:val="24"/>
        </w:rPr>
        <w:t>and “export” and any other relevant legal provisions that may apply to shippers. Refer to relevant legislation and legal provisions</w:t>
      </w:r>
      <w:r w:rsidRPr="00DB790F">
        <w:rPr>
          <w:rFonts w:ascii="Times New Roman" w:hAnsi="Times New Roman" w:cs="Times New Roman"/>
          <w:sz w:val="24"/>
          <w:szCs w:val="24"/>
        </w:rPr>
        <w:t xml:space="preserve">] </w:t>
      </w:r>
      <w:r>
        <w:rPr>
          <w:rFonts w:ascii="Times New Roman" w:hAnsi="Times New Roman" w:cs="Times New Roman"/>
        </w:rPr>
        <w:br w:type="page"/>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lastRenderedPageBreak/>
        <w:t xml:space="preserve">Licensing Requirements: Export or Commodity </w:t>
      </w:r>
      <w:r>
        <w:rPr>
          <w:rFonts w:ascii="Times New Roman" w:hAnsi="Times New Roman" w:cs="Times New Roman"/>
          <w:sz w:val="24"/>
          <w:szCs w:val="24"/>
          <w:u w:val="single"/>
        </w:rPr>
        <w:t xml:space="preserve">Classification </w:t>
      </w:r>
      <w:r w:rsidRPr="00B402E7">
        <w:rPr>
          <w:rFonts w:ascii="Times New Roman" w:hAnsi="Times New Roman" w:cs="Times New Roman"/>
          <w:sz w:val="24"/>
          <w:szCs w:val="24"/>
          <w:u w:val="single"/>
        </w:rPr>
        <w:t>Number (ECN or CCN)</w:t>
      </w:r>
      <w:r>
        <w:rPr>
          <w:rStyle w:val="EndnoteReference"/>
          <w:rFonts w:ascii="Times New Roman" w:hAnsi="Times New Roman" w:cs="Times New Roman"/>
          <w:sz w:val="24"/>
          <w:szCs w:val="24"/>
          <w:u w:val="single"/>
        </w:rPr>
        <w:endnoteReference w:id="1"/>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CCN</w:t>
      </w:r>
      <w:r w:rsidRPr="00B402E7">
        <w:rPr>
          <w:rFonts w:ascii="Times New Roman" w:hAnsi="Times New Roman" w:cs="Times New Roman"/>
          <w:sz w:val="24"/>
          <w:szCs w:val="24"/>
        </w:rPr>
        <w:t xml:space="preserve"> </w:t>
      </w:r>
      <w:r>
        <w:rPr>
          <w:rFonts w:ascii="Times New Roman" w:hAnsi="Times New Roman" w:cs="Times New Roman"/>
          <w:sz w:val="24"/>
          <w:szCs w:val="24"/>
        </w:rPr>
        <w:t xml:space="preserve">or ECN </w:t>
      </w:r>
      <w:r w:rsidRPr="00B402E7">
        <w:rPr>
          <w:rFonts w:ascii="Times New Roman" w:hAnsi="Times New Roman" w:cs="Times New Roman"/>
          <w:sz w:val="24"/>
          <w:szCs w:val="24"/>
        </w:rPr>
        <w:t>describes a particular item or type of item in technical detail, shows the controls placed on that item, and should appear on export documentation including the export license and accompanying shipping documents. The CCN</w:t>
      </w:r>
      <w:r>
        <w:rPr>
          <w:rFonts w:ascii="Times New Roman" w:hAnsi="Times New Roman" w:cs="Times New Roman"/>
          <w:sz w:val="24"/>
          <w:szCs w:val="24"/>
        </w:rPr>
        <w:t>/ECN</w:t>
      </w:r>
      <w:r w:rsidRPr="00B402E7">
        <w:rPr>
          <w:rFonts w:ascii="Times New Roman" w:hAnsi="Times New Roman" w:cs="Times New Roman"/>
          <w:sz w:val="24"/>
          <w:szCs w:val="24"/>
        </w:rPr>
        <w:t xml:space="preserve"> is denoted, with the description of the item, on a country’s national control list (NCL).</w:t>
      </w:r>
    </w:p>
    <w:p w:rsidR="00FB4BE5" w:rsidRPr="00B402E7" w:rsidRDefault="00FB4BE5" w:rsidP="00FB4BE5">
      <w:pPr>
        <w:autoSpaceDE w:val="0"/>
        <w:autoSpaceDN w:val="0"/>
        <w:adjustRightInd w:val="0"/>
        <w:spacing w:after="0" w:line="240" w:lineRule="auto"/>
        <w:jc w:val="both"/>
        <w:rPr>
          <w:rFonts w:ascii="Times New Roman" w:hAnsi="Times New Roman" w:cs="Times New Roman"/>
          <w:b/>
          <w:sz w:val="24"/>
          <w:szCs w:val="24"/>
        </w:rPr>
      </w:pPr>
    </w:p>
    <w:p w:rsidR="00FB4BE5" w:rsidRPr="00B402E7" w:rsidRDefault="00FB4BE5" w:rsidP="00FB4BE5">
      <w:pPr>
        <w:autoSpaceDE w:val="0"/>
        <w:autoSpaceDN w:val="0"/>
        <w:adjustRightInd w:val="0"/>
        <w:spacing w:after="24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 xml:space="preserve">The example below (Gravity meters and gravity gradiometers) provides insight into the structure of CCNs: </w:t>
      </w:r>
    </w:p>
    <w:p w:rsidR="00FB4BE5" w:rsidRDefault="00FB4BE5" w:rsidP="00FB4BE5">
      <w:pPr>
        <w:autoSpaceDE w:val="0"/>
        <w:autoSpaceDN w:val="0"/>
        <w:adjustRightInd w:val="0"/>
        <w:spacing w:before="120" w:after="120" w:line="240" w:lineRule="auto"/>
        <w:jc w:val="center"/>
        <w:rPr>
          <w:rFonts w:ascii="Times New Roman" w:hAnsi="Times New Roman" w:cs="Times New Roman"/>
        </w:rPr>
      </w:pPr>
      <w:r>
        <w:rPr>
          <w:rFonts w:ascii="Times New Roman" w:hAnsi="Times New Roman" w:cs="Times New Roman"/>
          <w:noProof/>
        </w:rPr>
        <w:drawing>
          <wp:inline distT="0" distB="0" distL="0" distR="0" wp14:anchorId="574F3B4F" wp14:editId="15A32A2E">
            <wp:extent cx="5019675" cy="1436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5.bmp"/>
                    <pic:cNvPicPr/>
                  </pic:nvPicPr>
                  <pic:blipFill>
                    <a:blip r:embed="rId11">
                      <a:extLst>
                        <a:ext uri="{28A0092B-C50C-407E-A947-70E740481C1C}">
                          <a14:useLocalDpi xmlns:a14="http://schemas.microsoft.com/office/drawing/2010/main" val="0"/>
                        </a:ext>
                      </a:extLst>
                    </a:blip>
                    <a:stretch>
                      <a:fillRect/>
                    </a:stretch>
                  </pic:blipFill>
                  <pic:spPr>
                    <a:xfrm>
                      <a:off x="0" y="0"/>
                      <a:ext cx="5019675" cy="1436824"/>
                    </a:xfrm>
                    <a:prstGeom prst="rect">
                      <a:avLst/>
                    </a:prstGeom>
                  </pic:spPr>
                </pic:pic>
              </a:graphicData>
            </a:graphic>
          </wp:inline>
        </w:drawing>
      </w:r>
    </w:p>
    <w:p w:rsidR="00FB4BE5" w:rsidRPr="00B402E7" w:rsidRDefault="00FB4BE5" w:rsidP="00FB4BE5">
      <w:pPr>
        <w:autoSpaceDE w:val="0"/>
        <w:autoSpaceDN w:val="0"/>
        <w:adjustRightInd w:val="0"/>
        <w:spacing w:before="120" w:after="60" w:line="240" w:lineRule="auto"/>
        <w:ind w:left="720" w:hanging="720"/>
        <w:jc w:val="both"/>
        <w:rPr>
          <w:rFonts w:ascii="Times New Roman" w:hAnsi="Times New Roman" w:cs="Times New Roman"/>
        </w:rPr>
      </w:pPr>
      <w:r w:rsidRPr="00B402E7">
        <w:rPr>
          <w:rFonts w:ascii="Times New Roman" w:hAnsi="Times New Roman" w:cs="Times New Roman"/>
          <w:b/>
          <w:color w:val="FF0000"/>
        </w:rPr>
        <w:t>6</w:t>
      </w:r>
      <w:r w:rsidRPr="00B402E7">
        <w:rPr>
          <w:rFonts w:ascii="Times New Roman" w:hAnsi="Times New Roman" w:cs="Times New Roman"/>
        </w:rPr>
        <w:tab/>
        <w:t>The first character (number) - represents the overall technical category of the item. This character is a digit in the 0 - 9 range.</w:t>
      </w:r>
    </w:p>
    <w:p w:rsidR="00FB4BE5" w:rsidRPr="00B402E7" w:rsidRDefault="00FB4BE5" w:rsidP="00FB4BE5">
      <w:pPr>
        <w:autoSpaceDE w:val="0"/>
        <w:autoSpaceDN w:val="0"/>
        <w:adjustRightInd w:val="0"/>
        <w:spacing w:before="120" w:after="60" w:line="240" w:lineRule="auto"/>
        <w:ind w:left="720" w:hanging="720"/>
        <w:jc w:val="both"/>
        <w:rPr>
          <w:rFonts w:ascii="Times New Roman" w:hAnsi="Times New Roman" w:cs="Times New Roman"/>
        </w:rPr>
      </w:pPr>
      <w:proofErr w:type="gramStart"/>
      <w:r w:rsidRPr="00B402E7">
        <w:rPr>
          <w:rFonts w:ascii="Times New Roman" w:hAnsi="Times New Roman" w:cs="Times New Roman"/>
          <w:b/>
          <w:color w:val="663300"/>
        </w:rPr>
        <w:t>A</w:t>
      </w:r>
      <w:r w:rsidRPr="00B402E7">
        <w:rPr>
          <w:rFonts w:ascii="Times New Roman" w:hAnsi="Times New Roman" w:cs="Times New Roman"/>
          <w:b/>
        </w:rPr>
        <w:tab/>
      </w:r>
      <w:r w:rsidRPr="00B402E7">
        <w:rPr>
          <w:rFonts w:ascii="Times New Roman" w:hAnsi="Times New Roman" w:cs="Times New Roman"/>
        </w:rPr>
        <w:t>The</w:t>
      </w:r>
      <w:proofErr w:type="gramEnd"/>
      <w:r w:rsidRPr="00B402E7">
        <w:rPr>
          <w:rFonts w:ascii="Times New Roman" w:hAnsi="Times New Roman" w:cs="Times New Roman"/>
        </w:rPr>
        <w:t xml:space="preserve"> second character (letter) represents the product group. This character is a letter ranging A - E.</w:t>
      </w:r>
    </w:p>
    <w:p w:rsidR="00FB4BE5" w:rsidRPr="00B402E7" w:rsidRDefault="00FB4BE5" w:rsidP="00FB4BE5">
      <w:pPr>
        <w:pStyle w:val="CommentText"/>
        <w:spacing w:before="120" w:after="60"/>
        <w:ind w:left="720" w:hanging="720"/>
        <w:rPr>
          <w:rFonts w:ascii="Times New Roman" w:hAnsi="Times New Roman" w:cs="Times New Roman"/>
          <w:sz w:val="22"/>
          <w:szCs w:val="22"/>
        </w:rPr>
      </w:pPr>
      <w:r w:rsidRPr="00B402E7">
        <w:rPr>
          <w:rFonts w:ascii="Times New Roman" w:hAnsi="Times New Roman" w:cs="Times New Roman"/>
          <w:b/>
          <w:color w:val="1F497D" w:themeColor="text2"/>
          <w:sz w:val="22"/>
          <w:szCs w:val="22"/>
        </w:rPr>
        <w:t>0</w:t>
      </w:r>
      <w:r w:rsidRPr="00B402E7">
        <w:rPr>
          <w:rFonts w:ascii="Times New Roman" w:hAnsi="Times New Roman" w:cs="Times New Roman"/>
          <w:i/>
          <w:sz w:val="22"/>
          <w:szCs w:val="22"/>
        </w:rPr>
        <w:tab/>
      </w:r>
      <w:r w:rsidRPr="00B402E7">
        <w:rPr>
          <w:rFonts w:ascii="Times New Roman" w:hAnsi="Times New Roman" w:cs="Times New Roman"/>
          <w:sz w:val="22"/>
          <w:szCs w:val="22"/>
        </w:rPr>
        <w:t>The third character (number) - indicates the Multilateral Export Control Regime (MECR) from which the item is derived.</w:t>
      </w:r>
    </w:p>
    <w:p w:rsidR="00FB4BE5" w:rsidRPr="00B402E7" w:rsidRDefault="00FB4BE5" w:rsidP="00FB4BE5">
      <w:pPr>
        <w:pStyle w:val="CommentText"/>
        <w:spacing w:before="120" w:after="60"/>
        <w:ind w:left="720" w:hanging="720"/>
        <w:rPr>
          <w:rFonts w:ascii="Times New Roman" w:hAnsi="Times New Roman" w:cs="Times New Roman"/>
          <w:sz w:val="22"/>
          <w:szCs w:val="22"/>
        </w:rPr>
      </w:pPr>
      <w:r w:rsidRPr="00B402E7">
        <w:rPr>
          <w:rFonts w:ascii="Times New Roman" w:hAnsi="Times New Roman" w:cs="Times New Roman"/>
          <w:b/>
          <w:color w:val="00B050"/>
          <w:sz w:val="22"/>
          <w:szCs w:val="22"/>
        </w:rPr>
        <w:t>07</w:t>
      </w:r>
      <w:r w:rsidRPr="00B402E7">
        <w:rPr>
          <w:rFonts w:ascii="Times New Roman" w:hAnsi="Times New Roman" w:cs="Times New Roman"/>
          <w:i/>
          <w:sz w:val="22"/>
          <w:szCs w:val="22"/>
        </w:rPr>
        <w:tab/>
      </w:r>
      <w:r w:rsidRPr="00B402E7">
        <w:rPr>
          <w:rFonts w:ascii="Times New Roman" w:hAnsi="Times New Roman" w:cs="Times New Roman"/>
          <w:sz w:val="22"/>
          <w:szCs w:val="22"/>
        </w:rPr>
        <w:t>The fourth and fifth characters (numbers) - represent the position of the item within the technical category and the product group.</w:t>
      </w:r>
    </w:p>
    <w:p w:rsidR="00FB4BE5" w:rsidRDefault="00FB4BE5" w:rsidP="00FB4BE5">
      <w:pPr>
        <w:autoSpaceDE w:val="0"/>
        <w:autoSpaceDN w:val="0"/>
        <w:adjustRightInd w:val="0"/>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95F071" wp14:editId="2635EEB4">
            <wp:extent cx="467036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N_Screening.jpg"/>
                    <pic:cNvPicPr/>
                  </pic:nvPicPr>
                  <pic:blipFill>
                    <a:blip r:embed="rId12">
                      <a:extLst>
                        <a:ext uri="{28A0092B-C50C-407E-A947-70E740481C1C}">
                          <a14:useLocalDpi xmlns:a14="http://schemas.microsoft.com/office/drawing/2010/main" val="0"/>
                        </a:ext>
                      </a:extLst>
                    </a:blip>
                    <a:stretch>
                      <a:fillRect/>
                    </a:stretch>
                  </pic:blipFill>
                  <pic:spPr>
                    <a:xfrm>
                      <a:off x="0" y="0"/>
                      <a:ext cx="4673472" cy="3507536"/>
                    </a:xfrm>
                    <a:prstGeom prst="rect">
                      <a:avLst/>
                    </a:prstGeom>
                  </pic:spPr>
                </pic:pic>
              </a:graphicData>
            </a:graphic>
          </wp:inline>
        </w:drawing>
      </w:r>
      <w:r>
        <w:rPr>
          <w:rFonts w:ascii="Times New Roman" w:hAnsi="Times New Roman" w:cs="Times New Roman"/>
          <w:sz w:val="24"/>
          <w:szCs w:val="24"/>
        </w:rPr>
        <w:br w:type="page"/>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lastRenderedPageBreak/>
        <w:t xml:space="preserve">Licensing Requirements: Harmonized System (HS) </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National Control Lists (NCLs) are used in a country's export control process. For the import control process, the Harmonized System (HS) is used. The HS is an international method of classifying products for tariff and statistical purposes. It is widely used by Customs officials to determine duties, taxes, and regulations that apply to imports. Under the HS, imports are assigned a six-digit identifying number. </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24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 xml:space="preserve">The example below provides insight into the structure of Harmonized System (HS) codes: </w:t>
      </w:r>
    </w:p>
    <w:p w:rsidR="00FB4BE5" w:rsidRDefault="00FB4BE5" w:rsidP="00FB4BE5">
      <w:pPr>
        <w:autoSpaceDE w:val="0"/>
        <w:autoSpaceDN w:val="0"/>
        <w:adjustRightInd w:val="0"/>
        <w:spacing w:before="120" w:after="120" w:line="240" w:lineRule="auto"/>
        <w:jc w:val="center"/>
        <w:rPr>
          <w:rFonts w:ascii="Times New Roman" w:hAnsi="Times New Roman" w:cs="Times New Roman"/>
        </w:rPr>
      </w:pPr>
      <w:r>
        <w:rPr>
          <w:rFonts w:ascii="Times New Roman" w:hAnsi="Times New Roman" w:cs="Times New Roman"/>
          <w:noProof/>
        </w:rPr>
        <w:drawing>
          <wp:inline distT="0" distB="0" distL="0" distR="0" wp14:anchorId="7E132616" wp14:editId="3FA90AC2">
            <wp:extent cx="5067300" cy="15704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6.bmp"/>
                    <pic:cNvPicPr/>
                  </pic:nvPicPr>
                  <pic:blipFill>
                    <a:blip r:embed="rId13">
                      <a:extLst>
                        <a:ext uri="{28A0092B-C50C-407E-A947-70E740481C1C}">
                          <a14:useLocalDpi xmlns:a14="http://schemas.microsoft.com/office/drawing/2010/main" val="0"/>
                        </a:ext>
                      </a:extLst>
                    </a:blip>
                    <a:stretch>
                      <a:fillRect/>
                    </a:stretch>
                  </pic:blipFill>
                  <pic:spPr>
                    <a:xfrm>
                      <a:off x="0" y="0"/>
                      <a:ext cx="5067300" cy="1570406"/>
                    </a:xfrm>
                    <a:prstGeom prst="rect">
                      <a:avLst/>
                    </a:prstGeom>
                  </pic:spPr>
                </pic:pic>
              </a:graphicData>
            </a:graphic>
          </wp:inline>
        </w:drawing>
      </w:r>
    </w:p>
    <w:p w:rsidR="00FB4BE5" w:rsidRPr="00B402E7" w:rsidRDefault="00FB4BE5" w:rsidP="00FB4BE5">
      <w:pPr>
        <w:autoSpaceDE w:val="0"/>
        <w:autoSpaceDN w:val="0"/>
        <w:adjustRightInd w:val="0"/>
        <w:spacing w:before="240" w:after="0" w:line="240" w:lineRule="auto"/>
        <w:jc w:val="both"/>
        <w:rPr>
          <w:rFonts w:ascii="Times New Roman" w:hAnsi="Times New Roman" w:cs="Times New Roman"/>
        </w:rPr>
      </w:pPr>
      <w:r w:rsidRPr="00B402E7">
        <w:rPr>
          <w:rFonts w:ascii="Times New Roman" w:hAnsi="Times New Roman" w:cs="Times New Roman"/>
          <w:b/>
          <w:color w:val="FF0000"/>
        </w:rPr>
        <w:t>85</w:t>
      </w:r>
      <w:r w:rsidRPr="00B402E7">
        <w:rPr>
          <w:rFonts w:ascii="Times New Roman" w:hAnsi="Times New Roman" w:cs="Times New Roman"/>
        </w:rPr>
        <w:tab/>
        <w:t>The first two digits of this number identify the chapter into which the product falls.</w:t>
      </w:r>
    </w:p>
    <w:p w:rsidR="00FB4BE5" w:rsidRPr="00B402E7" w:rsidRDefault="00FB4BE5" w:rsidP="00FB4BE5">
      <w:pPr>
        <w:pStyle w:val="CommentText"/>
        <w:spacing w:before="120" w:after="60"/>
        <w:ind w:left="720" w:hanging="720"/>
        <w:rPr>
          <w:rFonts w:ascii="Times New Roman" w:hAnsi="Times New Roman" w:cs="Times New Roman"/>
          <w:sz w:val="22"/>
          <w:szCs w:val="22"/>
        </w:rPr>
      </w:pPr>
      <w:r w:rsidRPr="00B402E7">
        <w:rPr>
          <w:rFonts w:ascii="Times New Roman" w:hAnsi="Times New Roman" w:cs="Times New Roman"/>
          <w:b/>
          <w:color w:val="00B050"/>
          <w:sz w:val="22"/>
          <w:szCs w:val="22"/>
        </w:rPr>
        <w:t>44</w:t>
      </w:r>
      <w:r w:rsidRPr="00B402E7">
        <w:rPr>
          <w:rFonts w:ascii="Times New Roman" w:hAnsi="Times New Roman" w:cs="Times New Roman"/>
          <w:i/>
          <w:sz w:val="22"/>
          <w:szCs w:val="22"/>
        </w:rPr>
        <w:tab/>
      </w:r>
      <w:r w:rsidRPr="00B402E7">
        <w:rPr>
          <w:rFonts w:ascii="Times New Roman" w:hAnsi="Times New Roman" w:cs="Times New Roman"/>
          <w:sz w:val="22"/>
          <w:szCs w:val="22"/>
        </w:rPr>
        <w:t xml:space="preserve">The second two digits identify the heading within that chapter. </w:t>
      </w:r>
    </w:p>
    <w:p w:rsidR="00FB4BE5" w:rsidRPr="00B402E7" w:rsidRDefault="00FB4BE5" w:rsidP="00FB4BE5">
      <w:pPr>
        <w:pStyle w:val="CommentText"/>
        <w:spacing w:before="120" w:after="60"/>
        <w:ind w:left="720" w:hanging="720"/>
        <w:rPr>
          <w:rFonts w:ascii="Times New Roman" w:hAnsi="Times New Roman" w:cs="Times New Roman"/>
          <w:sz w:val="22"/>
          <w:szCs w:val="22"/>
        </w:rPr>
      </w:pPr>
      <w:r w:rsidRPr="00B402E7">
        <w:rPr>
          <w:rFonts w:ascii="Times New Roman" w:hAnsi="Times New Roman" w:cs="Times New Roman"/>
          <w:b/>
          <w:color w:val="1F497D" w:themeColor="text2"/>
          <w:sz w:val="22"/>
          <w:szCs w:val="22"/>
        </w:rPr>
        <w:t>30</w:t>
      </w:r>
      <w:r w:rsidRPr="00B402E7">
        <w:rPr>
          <w:rFonts w:ascii="Times New Roman" w:hAnsi="Times New Roman" w:cs="Times New Roman"/>
          <w:i/>
          <w:sz w:val="22"/>
          <w:szCs w:val="22"/>
        </w:rPr>
        <w:tab/>
      </w:r>
      <w:r w:rsidRPr="00B402E7">
        <w:rPr>
          <w:rFonts w:ascii="Times New Roman" w:hAnsi="Times New Roman" w:cs="Times New Roman"/>
          <w:sz w:val="22"/>
          <w:szCs w:val="22"/>
        </w:rPr>
        <w:t>The final two digits identify a specific class of products.</w:t>
      </w:r>
    </w:p>
    <w:p w:rsidR="00FB4BE5" w:rsidRDefault="00FB4BE5" w:rsidP="00FB4BE5">
      <w:pPr>
        <w:rPr>
          <w:rFonts w:ascii="Times New Roman" w:hAnsi="Times New Roman" w:cs="Times New Roman"/>
        </w:rPr>
      </w:pPr>
      <w:r>
        <w:rPr>
          <w:rFonts w:ascii="Times New Roman" w:hAnsi="Times New Roman" w:cs="Times New Roman"/>
        </w:rPr>
        <w:br w:type="page"/>
      </w:r>
    </w:p>
    <w:p w:rsidR="00FB4BE5" w:rsidRPr="00DB790F" w:rsidRDefault="00FB4BE5" w:rsidP="00FB4BE5">
      <w:pPr>
        <w:autoSpaceDE w:val="0"/>
        <w:autoSpaceDN w:val="0"/>
        <w:adjustRightInd w:val="0"/>
        <w:spacing w:before="120" w:after="120" w:line="240" w:lineRule="auto"/>
        <w:jc w:val="both"/>
        <w:rPr>
          <w:rFonts w:ascii="Times New Roman" w:hAnsi="Times New Roman" w:cs="Times New Roman"/>
          <w:sz w:val="24"/>
          <w:szCs w:val="24"/>
        </w:rPr>
      </w:pPr>
      <w:r w:rsidRPr="00DB790F">
        <w:rPr>
          <w:rFonts w:ascii="Times New Roman" w:hAnsi="Times New Roman" w:cs="Times New Roman"/>
          <w:sz w:val="24"/>
          <w:szCs w:val="24"/>
          <w:u w:val="single"/>
        </w:rPr>
        <w:lastRenderedPageBreak/>
        <w:t>Licensing Requirements: Comparing NCL and HS Entries</w:t>
      </w:r>
      <w:r w:rsidRPr="00DB790F">
        <w:rPr>
          <w:rFonts w:ascii="Times New Roman" w:hAnsi="Times New Roman" w:cs="Times New Roman"/>
          <w:sz w:val="24"/>
          <w:szCs w:val="24"/>
        </w:rPr>
        <w:t xml:space="preserve"> </w:t>
      </w:r>
    </w:p>
    <w:p w:rsidR="00FB4BE5" w:rsidRPr="00DB790F" w:rsidRDefault="00FB4BE5" w:rsidP="00FB4BE5">
      <w:pPr>
        <w:autoSpaceDE w:val="0"/>
        <w:autoSpaceDN w:val="0"/>
        <w:adjustRightInd w:val="0"/>
        <w:spacing w:before="240" w:after="12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A commodity control number (CCN) might describe items that are covered in several HS entries. Similarly, an HS code can cover items described by more than one CCN. However, almost never will the entire coverage of an HS number and the entire coverage of a CCN be identical. HS codes are usually broad and inclusive of multiple commodities, while CCNs tend to be more precise, with technical </w:t>
      </w:r>
      <w:r>
        <w:rPr>
          <w:rFonts w:ascii="Times New Roman" w:hAnsi="Times New Roman" w:cs="Times New Roman"/>
          <w:sz w:val="24"/>
          <w:szCs w:val="24"/>
        </w:rPr>
        <w:t xml:space="preserve">characteristics and </w:t>
      </w:r>
      <w:r w:rsidRPr="00DB790F">
        <w:rPr>
          <w:rFonts w:ascii="Times New Roman" w:hAnsi="Times New Roman" w:cs="Times New Roman"/>
          <w:sz w:val="24"/>
          <w:szCs w:val="24"/>
        </w:rPr>
        <w:t>descriptions that are specific to a singular commodity</w:t>
      </w:r>
      <w:r>
        <w:rPr>
          <w:rFonts w:ascii="Times New Roman" w:hAnsi="Times New Roman" w:cs="Times New Roman"/>
          <w:sz w:val="24"/>
          <w:szCs w:val="24"/>
        </w:rPr>
        <w:t>.</w:t>
      </w:r>
    </w:p>
    <w:p w:rsidR="00FB4BE5" w:rsidRDefault="00FB4BE5" w:rsidP="00FB4BE5">
      <w:pPr>
        <w:autoSpaceDE w:val="0"/>
        <w:autoSpaceDN w:val="0"/>
        <w:adjustRightInd w:val="0"/>
        <w:spacing w:before="120" w:after="120" w:line="240" w:lineRule="auto"/>
        <w:jc w:val="both"/>
        <w:rPr>
          <w:rFonts w:ascii="Times New Roman" w:hAnsi="Times New Roman" w:cs="Times New Roman"/>
        </w:rPr>
        <w:sectPr w:rsidR="00FB4BE5" w:rsidSect="00FB4BE5">
          <w:footerReference w:type="default" r:id="rId14"/>
          <w:endnotePr>
            <w:numFmt w:val="decimal"/>
          </w:endnotePr>
          <w:type w:val="continuous"/>
          <w:pgSz w:w="12240" w:h="15840"/>
          <w:pgMar w:top="1440" w:right="1440" w:bottom="1440" w:left="1440" w:header="720" w:footer="720" w:gutter="0"/>
          <w:cols w:space="720"/>
          <w:docGrid w:linePitch="360"/>
        </w:sectPr>
      </w:pPr>
      <w:r>
        <w:rPr>
          <w:rFonts w:ascii="Times New Roman" w:hAnsi="Times New Roman" w:cs="Times New Roman"/>
        </w:rPr>
        <w:t xml:space="preserve"> </w:t>
      </w:r>
    </w:p>
    <w:p w:rsidR="00FB4BE5" w:rsidRPr="0031324E" w:rsidRDefault="00FB4BE5" w:rsidP="00FB4BE5">
      <w:pPr>
        <w:autoSpaceDE w:val="0"/>
        <w:autoSpaceDN w:val="0"/>
        <w:adjustRightInd w:val="0"/>
        <w:spacing w:before="120" w:after="120" w:line="240" w:lineRule="auto"/>
        <w:ind w:left="720"/>
        <w:jc w:val="both"/>
        <w:rPr>
          <w:rFonts w:ascii="Times New Roman" w:hAnsi="Times New Roman" w:cs="Times New Roman"/>
          <w:b/>
        </w:rPr>
      </w:pPr>
      <w:r w:rsidRPr="0031324E">
        <w:rPr>
          <w:rFonts w:ascii="Times New Roman" w:hAnsi="Times New Roman" w:cs="Times New Roman"/>
          <w:b/>
        </w:rPr>
        <w:lastRenderedPageBreak/>
        <w:t xml:space="preserve">NCL Entries </w:t>
      </w:r>
    </w:p>
    <w:p w:rsidR="00FB4BE5" w:rsidRPr="0031324E" w:rsidRDefault="00FB4BE5" w:rsidP="00FB4BE5">
      <w:pPr>
        <w:pStyle w:val="ListParagraph"/>
        <w:numPr>
          <w:ilvl w:val="0"/>
          <w:numId w:val="17"/>
        </w:numPr>
        <w:autoSpaceDE w:val="0"/>
        <w:autoSpaceDN w:val="0"/>
        <w:adjustRightInd w:val="0"/>
        <w:spacing w:before="240" w:after="120" w:line="240" w:lineRule="auto"/>
        <w:contextualSpacing w:val="0"/>
        <w:jc w:val="both"/>
        <w:rPr>
          <w:rFonts w:ascii="Times New Roman" w:hAnsi="Times New Roman" w:cs="Times New Roman"/>
        </w:rPr>
      </w:pPr>
      <w:r w:rsidRPr="0031324E">
        <w:rPr>
          <w:rFonts w:ascii="Times New Roman" w:hAnsi="Times New Roman" w:cs="Times New Roman"/>
        </w:rPr>
        <w:t xml:space="preserve">Used to determine whether a particular item requires an export license </w:t>
      </w:r>
    </w:p>
    <w:p w:rsidR="00FB4BE5" w:rsidRPr="0031324E" w:rsidRDefault="00FB4BE5" w:rsidP="00FB4BE5">
      <w:pPr>
        <w:pStyle w:val="ListParagraph"/>
        <w:numPr>
          <w:ilvl w:val="0"/>
          <w:numId w:val="17"/>
        </w:numPr>
        <w:autoSpaceDE w:val="0"/>
        <w:autoSpaceDN w:val="0"/>
        <w:adjustRightInd w:val="0"/>
        <w:spacing w:before="120" w:after="120" w:line="240" w:lineRule="auto"/>
        <w:contextualSpacing w:val="0"/>
        <w:jc w:val="both"/>
        <w:rPr>
          <w:rFonts w:ascii="Times New Roman" w:hAnsi="Times New Roman" w:cs="Times New Roman"/>
        </w:rPr>
      </w:pPr>
      <w:r w:rsidRPr="0031324E">
        <w:rPr>
          <w:rFonts w:ascii="Times New Roman" w:hAnsi="Times New Roman" w:cs="Times New Roman"/>
        </w:rPr>
        <w:t xml:space="preserve">Technology, services, and technical data are classified in the NCL (dual-use or military) </w:t>
      </w:r>
    </w:p>
    <w:p w:rsidR="00FB4BE5" w:rsidRPr="0031324E" w:rsidRDefault="00FB4BE5" w:rsidP="00FB4BE5">
      <w:pPr>
        <w:pStyle w:val="ListParagraph"/>
        <w:numPr>
          <w:ilvl w:val="0"/>
          <w:numId w:val="17"/>
        </w:numPr>
        <w:autoSpaceDE w:val="0"/>
        <w:autoSpaceDN w:val="0"/>
        <w:adjustRightInd w:val="0"/>
        <w:spacing w:before="120" w:after="120" w:line="240" w:lineRule="auto"/>
        <w:contextualSpacing w:val="0"/>
        <w:jc w:val="both"/>
        <w:rPr>
          <w:rFonts w:ascii="Times New Roman" w:hAnsi="Times New Roman" w:cs="Times New Roman"/>
        </w:rPr>
      </w:pPr>
      <w:r w:rsidRPr="0031324E">
        <w:rPr>
          <w:rFonts w:ascii="Times New Roman" w:hAnsi="Times New Roman" w:cs="Times New Roman"/>
        </w:rPr>
        <w:t xml:space="preserve">Covers items (goods, technology, and services) that require export controls </w:t>
      </w:r>
    </w:p>
    <w:p w:rsidR="00FB4BE5" w:rsidRPr="0031324E" w:rsidRDefault="00FB4BE5" w:rsidP="00FB4BE5">
      <w:pPr>
        <w:autoSpaceDE w:val="0"/>
        <w:autoSpaceDN w:val="0"/>
        <w:adjustRightInd w:val="0"/>
        <w:spacing w:before="120" w:after="120" w:line="240" w:lineRule="auto"/>
        <w:ind w:left="720"/>
        <w:jc w:val="both"/>
        <w:rPr>
          <w:rFonts w:ascii="Times New Roman" w:hAnsi="Times New Roman" w:cs="Times New Roman"/>
          <w:b/>
        </w:rPr>
      </w:pPr>
      <w:r w:rsidRPr="0031324E">
        <w:rPr>
          <w:rFonts w:ascii="Times New Roman" w:hAnsi="Times New Roman" w:cs="Times New Roman"/>
          <w:b/>
        </w:rPr>
        <w:lastRenderedPageBreak/>
        <w:t xml:space="preserve">HS Entries </w:t>
      </w:r>
    </w:p>
    <w:p w:rsidR="00FB4BE5" w:rsidRPr="0031324E" w:rsidRDefault="00FB4BE5" w:rsidP="00FB4BE5">
      <w:pPr>
        <w:pStyle w:val="ListParagraph"/>
        <w:numPr>
          <w:ilvl w:val="0"/>
          <w:numId w:val="18"/>
        </w:numPr>
        <w:autoSpaceDE w:val="0"/>
        <w:autoSpaceDN w:val="0"/>
        <w:adjustRightInd w:val="0"/>
        <w:spacing w:before="240" w:after="120" w:line="240" w:lineRule="auto"/>
        <w:contextualSpacing w:val="0"/>
        <w:jc w:val="both"/>
        <w:rPr>
          <w:rFonts w:ascii="Times New Roman" w:hAnsi="Times New Roman" w:cs="Times New Roman"/>
        </w:rPr>
      </w:pPr>
      <w:r w:rsidRPr="0031324E">
        <w:rPr>
          <w:rFonts w:ascii="Times New Roman" w:hAnsi="Times New Roman" w:cs="Times New Roman"/>
        </w:rPr>
        <w:t xml:space="preserve">Used for classifying products for tariff and statistical purposes </w:t>
      </w:r>
    </w:p>
    <w:p w:rsidR="00FB4BE5" w:rsidRDefault="00FB4BE5" w:rsidP="00FB4BE5">
      <w:pPr>
        <w:pStyle w:val="ListParagraph"/>
        <w:numPr>
          <w:ilvl w:val="0"/>
          <w:numId w:val="18"/>
        </w:numPr>
        <w:autoSpaceDE w:val="0"/>
        <w:autoSpaceDN w:val="0"/>
        <w:adjustRightInd w:val="0"/>
        <w:spacing w:before="120" w:after="120" w:line="240" w:lineRule="auto"/>
        <w:contextualSpacing w:val="0"/>
        <w:jc w:val="both"/>
        <w:rPr>
          <w:rFonts w:ascii="Times New Roman" w:hAnsi="Times New Roman" w:cs="Times New Roman"/>
        </w:rPr>
      </w:pPr>
      <w:r w:rsidRPr="0031324E">
        <w:rPr>
          <w:rFonts w:ascii="Times New Roman" w:hAnsi="Times New Roman" w:cs="Times New Roman"/>
        </w:rPr>
        <w:t xml:space="preserve">Classifies all physical products </w:t>
      </w:r>
    </w:p>
    <w:p w:rsidR="00FB4BE5" w:rsidRPr="00265C5A" w:rsidRDefault="00FB4BE5" w:rsidP="00FB4BE5">
      <w:pPr>
        <w:pStyle w:val="ListParagraph"/>
        <w:numPr>
          <w:ilvl w:val="0"/>
          <w:numId w:val="18"/>
        </w:numPr>
        <w:autoSpaceDE w:val="0"/>
        <w:autoSpaceDN w:val="0"/>
        <w:adjustRightInd w:val="0"/>
        <w:spacing w:before="120" w:after="120" w:line="240" w:lineRule="auto"/>
        <w:contextualSpacing w:val="0"/>
        <w:jc w:val="both"/>
        <w:rPr>
          <w:rFonts w:ascii="Times New Roman" w:hAnsi="Times New Roman" w:cs="Times New Roman"/>
        </w:rPr>
      </w:pPr>
      <w:r w:rsidRPr="00265C5A">
        <w:rPr>
          <w:rFonts w:ascii="Times New Roman" w:hAnsi="Times New Roman" w:cs="Times New Roman"/>
        </w:rPr>
        <w:t xml:space="preserve">Does not cover technology </w:t>
      </w:r>
    </w:p>
    <w:p w:rsidR="00FB4BE5" w:rsidRDefault="00FB4BE5" w:rsidP="00FB4BE5">
      <w:pPr>
        <w:autoSpaceDE w:val="0"/>
        <w:autoSpaceDN w:val="0"/>
        <w:adjustRightInd w:val="0"/>
        <w:spacing w:before="120" w:after="120" w:line="240" w:lineRule="auto"/>
        <w:jc w:val="both"/>
        <w:rPr>
          <w:rFonts w:ascii="Times New Roman" w:hAnsi="Times New Roman" w:cs="Times New Roman"/>
        </w:rPr>
      </w:pPr>
    </w:p>
    <w:p w:rsidR="00FB4BE5" w:rsidRDefault="00FB4BE5" w:rsidP="00FB4BE5">
      <w:pPr>
        <w:autoSpaceDE w:val="0"/>
        <w:autoSpaceDN w:val="0"/>
        <w:adjustRightInd w:val="0"/>
        <w:spacing w:before="120" w:after="120" w:line="240" w:lineRule="auto"/>
        <w:jc w:val="both"/>
        <w:rPr>
          <w:rFonts w:ascii="Times New Roman" w:hAnsi="Times New Roman" w:cs="Times New Roman"/>
        </w:rPr>
        <w:sectPr w:rsidR="00FB4BE5" w:rsidSect="0031324E">
          <w:endnotePr>
            <w:numFmt w:val="decimal"/>
          </w:endnotePr>
          <w:type w:val="continuous"/>
          <w:pgSz w:w="12240" w:h="15840"/>
          <w:pgMar w:top="1440" w:right="1440" w:bottom="1440" w:left="1440" w:header="720" w:footer="720" w:gutter="0"/>
          <w:cols w:num="2" w:space="720"/>
          <w:docGrid w:linePitch="360"/>
        </w:sectPr>
      </w:pPr>
    </w:p>
    <w:p w:rsidR="00FB4BE5" w:rsidRDefault="00FB4BE5" w:rsidP="00FB4BE5">
      <w:pPr>
        <w:autoSpaceDE w:val="0"/>
        <w:autoSpaceDN w:val="0"/>
        <w:adjustRightInd w:val="0"/>
        <w:spacing w:after="0" w:line="240" w:lineRule="auto"/>
        <w:jc w:val="both"/>
        <w:rPr>
          <w:rFonts w:ascii="Times New Roman" w:hAnsi="Times New Roman" w:cs="Times New Roman"/>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i/>
          <w:sz w:val="24"/>
          <w:szCs w:val="24"/>
        </w:rPr>
      </w:pPr>
      <w:r w:rsidRPr="00375054">
        <w:rPr>
          <w:rFonts w:ascii="Times New Roman" w:hAnsi="Times New Roman" w:cs="Times New Roman"/>
          <w:sz w:val="24"/>
          <w:szCs w:val="24"/>
          <w:u w:val="single"/>
        </w:rPr>
        <w:t>Note</w:t>
      </w:r>
      <w:r w:rsidRPr="00375054">
        <w:rPr>
          <w:rFonts w:ascii="Times New Roman" w:hAnsi="Times New Roman" w:cs="Times New Roman"/>
          <w:sz w:val="24"/>
          <w:szCs w:val="24"/>
        </w:rPr>
        <w:t>:</w:t>
      </w:r>
      <w:r w:rsidRPr="00DB790F">
        <w:rPr>
          <w:rFonts w:ascii="Times New Roman" w:hAnsi="Times New Roman" w:cs="Times New Roman"/>
          <w:sz w:val="24"/>
          <w:szCs w:val="24"/>
        </w:rPr>
        <w:t xml:space="preserve"> </w:t>
      </w:r>
      <w:r w:rsidRPr="00DB790F">
        <w:rPr>
          <w:rFonts w:ascii="Times New Roman" w:hAnsi="Times New Roman" w:cs="Times New Roman"/>
          <w:i/>
          <w:sz w:val="24"/>
          <w:szCs w:val="24"/>
        </w:rPr>
        <w:t>Shippers or agents should avoid making commodity classifications for which they lack technical expertise, and if in doubt should obtain support documentation for the Commodity /</w:t>
      </w:r>
      <w:r>
        <w:rPr>
          <w:rFonts w:ascii="Times New Roman" w:hAnsi="Times New Roman" w:cs="Times New Roman"/>
          <w:i/>
          <w:sz w:val="24"/>
          <w:szCs w:val="24"/>
        </w:rPr>
        <w:t xml:space="preserve"> </w:t>
      </w:r>
      <w:r w:rsidRPr="00DB790F">
        <w:rPr>
          <w:rFonts w:ascii="Times New Roman" w:hAnsi="Times New Roman" w:cs="Times New Roman"/>
          <w:i/>
          <w:sz w:val="24"/>
          <w:szCs w:val="24"/>
        </w:rPr>
        <w:t>Expor</w:t>
      </w:r>
      <w:r>
        <w:rPr>
          <w:rFonts w:ascii="Times New Roman" w:hAnsi="Times New Roman" w:cs="Times New Roman"/>
          <w:i/>
          <w:sz w:val="24"/>
          <w:szCs w:val="24"/>
        </w:rPr>
        <w:t xml:space="preserve">t </w:t>
      </w:r>
      <w:r w:rsidRPr="00DB790F">
        <w:rPr>
          <w:rFonts w:ascii="Times New Roman" w:hAnsi="Times New Roman" w:cs="Times New Roman"/>
          <w:i/>
          <w:sz w:val="24"/>
          <w:szCs w:val="24"/>
        </w:rPr>
        <w:t>C</w:t>
      </w:r>
      <w:r>
        <w:rPr>
          <w:rFonts w:ascii="Times New Roman" w:hAnsi="Times New Roman" w:cs="Times New Roman"/>
          <w:i/>
          <w:sz w:val="24"/>
          <w:szCs w:val="24"/>
        </w:rPr>
        <w:t xml:space="preserve">lassification </w:t>
      </w:r>
      <w:r w:rsidRPr="00DB790F">
        <w:rPr>
          <w:rFonts w:ascii="Times New Roman" w:hAnsi="Times New Roman" w:cs="Times New Roman"/>
          <w:i/>
          <w:sz w:val="24"/>
          <w:szCs w:val="24"/>
        </w:rPr>
        <w:t>Number</w:t>
      </w:r>
      <w:r>
        <w:rPr>
          <w:rFonts w:ascii="Times New Roman" w:hAnsi="Times New Roman" w:cs="Times New Roman"/>
          <w:i/>
          <w:sz w:val="24"/>
          <w:szCs w:val="24"/>
        </w:rPr>
        <w:t xml:space="preserve"> (ECN or CCN)</w:t>
      </w:r>
      <w:r w:rsidRPr="00DB790F">
        <w:rPr>
          <w:rFonts w:ascii="Times New Roman" w:hAnsi="Times New Roman" w:cs="Times New Roman"/>
          <w:i/>
          <w:sz w:val="24"/>
          <w:szCs w:val="24"/>
        </w:rPr>
        <w:t>.</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240" w:line="240" w:lineRule="auto"/>
        <w:jc w:val="both"/>
        <w:rPr>
          <w:rFonts w:ascii="Times New Roman" w:hAnsi="Times New Roman" w:cs="Times New Roman"/>
          <w:sz w:val="24"/>
          <w:szCs w:val="24"/>
        </w:rPr>
      </w:pPr>
      <w:r w:rsidRPr="00DB790F">
        <w:rPr>
          <w:rFonts w:ascii="Times New Roman" w:hAnsi="Times New Roman" w:cs="Times New Roman"/>
          <w:sz w:val="24"/>
          <w:szCs w:val="24"/>
        </w:rPr>
        <w:t>If the correlation shows a match between your HS number and a CCN, it is only a possibility, but not a certainty that the item is controlled. In that case you need to carefully read the specified CCN and then determine whether it describes your item or not. The following entry (</w:t>
      </w:r>
      <w:r>
        <w:rPr>
          <w:rFonts w:ascii="Times New Roman" w:hAnsi="Times New Roman" w:cs="Times New Roman"/>
          <w:b/>
          <w:sz w:val="24"/>
          <w:szCs w:val="24"/>
        </w:rPr>
        <w:t>Magnetic p</w:t>
      </w:r>
      <w:r w:rsidRPr="005A6C52">
        <w:rPr>
          <w:rFonts w:ascii="Times New Roman" w:hAnsi="Times New Roman" w:cs="Times New Roman"/>
          <w:b/>
          <w:sz w:val="24"/>
          <w:szCs w:val="24"/>
        </w:rPr>
        <w:t>owder</w:t>
      </w:r>
      <w:r w:rsidRPr="00DB790F">
        <w:rPr>
          <w:rFonts w:ascii="Times New Roman" w:hAnsi="Times New Roman" w:cs="Times New Roman"/>
          <w:sz w:val="24"/>
          <w:szCs w:val="24"/>
        </w:rPr>
        <w:t>) illustrates one control number covering items in more than one HS code:</w:t>
      </w:r>
    </w:p>
    <w:p w:rsidR="00FB4BE5" w:rsidRDefault="00FB4BE5" w:rsidP="00FB4BE5">
      <w:pPr>
        <w:autoSpaceDE w:val="0"/>
        <w:autoSpaceDN w:val="0"/>
        <w:adjustRightInd w:val="0"/>
        <w:spacing w:before="120" w:after="120" w:line="240" w:lineRule="auto"/>
        <w:jc w:val="center"/>
        <w:rPr>
          <w:rFonts w:ascii="Times New Roman" w:hAnsi="Times New Roman" w:cs="Times New Roman"/>
        </w:rPr>
      </w:pPr>
      <w:r>
        <w:rPr>
          <w:rFonts w:ascii="Times New Roman" w:hAnsi="Times New Roman" w:cs="Times New Roman"/>
          <w:noProof/>
        </w:rPr>
        <w:drawing>
          <wp:inline distT="0" distB="0" distL="0" distR="0" wp14:anchorId="51C93415" wp14:editId="2EDFF740">
            <wp:extent cx="5191125" cy="304756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7.bmp"/>
                    <pic:cNvPicPr/>
                  </pic:nvPicPr>
                  <pic:blipFill>
                    <a:blip r:embed="rId15">
                      <a:extLst>
                        <a:ext uri="{28A0092B-C50C-407E-A947-70E740481C1C}">
                          <a14:useLocalDpi xmlns:a14="http://schemas.microsoft.com/office/drawing/2010/main" val="0"/>
                        </a:ext>
                      </a:extLst>
                    </a:blip>
                    <a:stretch>
                      <a:fillRect/>
                    </a:stretch>
                  </pic:blipFill>
                  <pic:spPr>
                    <a:xfrm>
                      <a:off x="0" y="0"/>
                      <a:ext cx="5199634" cy="3052562"/>
                    </a:xfrm>
                    <a:prstGeom prst="rect">
                      <a:avLst/>
                    </a:prstGeom>
                  </pic:spPr>
                </pic:pic>
              </a:graphicData>
            </a:graphic>
          </wp:inline>
        </w:drawing>
      </w:r>
      <w:r>
        <w:rPr>
          <w:rFonts w:ascii="Times New Roman" w:hAnsi="Times New Roman" w:cs="Times New Roman"/>
        </w:rPr>
        <w:br w:type="page"/>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u w:val="single"/>
        </w:rPr>
        <w:lastRenderedPageBreak/>
        <w:t>Licensing Requirements: End-User/Foreign Consignee</w:t>
      </w:r>
      <w:r w:rsidRPr="00DB790F">
        <w:rPr>
          <w:rFonts w:ascii="Times New Roman" w:hAnsi="Times New Roman" w:cs="Times New Roman"/>
          <w:sz w:val="24"/>
          <w:szCs w:val="24"/>
        </w:rPr>
        <w:t xml:space="preserve">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While obtaining an export license for an item is the primary responsibility of the exporter, shippers are also responsible to ensure that the exports comply with national laws and regulations. Shippers must ensure that they do not export items to prohibited foreign consignees by being knowledgeable about published lists of prohibited end-users and sanctioned groups.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611D221F" wp14:editId="35B2F13B">
            <wp:simplePos x="0" y="0"/>
            <wp:positionH relativeFrom="margin">
              <wp:posOffset>4369435</wp:posOffset>
            </wp:positionH>
            <wp:positionV relativeFrom="margin">
              <wp:posOffset>1158875</wp:posOffset>
            </wp:positionV>
            <wp:extent cx="1541145" cy="1808480"/>
            <wp:effectExtent l="0" t="0" r="1905" b="127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 - Traffic Light - Shutterst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145" cy="1808480"/>
                    </a:xfrm>
                    <a:prstGeom prst="rect">
                      <a:avLst/>
                    </a:prstGeom>
                  </pic:spPr>
                </pic:pic>
              </a:graphicData>
            </a:graphic>
            <wp14:sizeRelH relativeFrom="margin">
              <wp14:pctWidth>0</wp14:pctWidth>
            </wp14:sizeRelH>
            <wp14:sizeRelV relativeFrom="margin">
              <wp14:pctHeight>0</wp14:pctHeight>
            </wp14:sizeRelV>
          </wp:anchor>
        </w:drawing>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Shippers must also scrutinize packages to ensure that they comply with national laws and be aware of 'red flag' indicators of suspicious activity. If red flags are present, shippers should exercise due diligence in inquiring about the facts of the transaction and ensure that suspicious circumstances are not ignored.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If the red flags cannot be resolved, shippers should refrain from engaging in the transaction. These steps help protect not only the shippers but also the shippers' client, who may be unknowingly engaging in a prohibited transaction.</w:t>
      </w:r>
    </w:p>
    <w:p w:rsidR="00FB4BE5" w:rsidRDefault="00FB4BE5" w:rsidP="00FB4BE5">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FB4BE5" w:rsidRPr="00A77751"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A77751">
        <w:rPr>
          <w:rFonts w:ascii="Times New Roman" w:hAnsi="Times New Roman" w:cs="Times New Roman"/>
          <w:sz w:val="24"/>
          <w:szCs w:val="24"/>
          <w:u w:val="single"/>
        </w:rPr>
        <w:lastRenderedPageBreak/>
        <w:t>Licensing Requirements: Exporter vs. Freight Forwarder Responsibilities</w:t>
      </w:r>
    </w:p>
    <w:p w:rsidR="00FB4BE5" w:rsidRPr="00A77751" w:rsidRDefault="00FB4BE5" w:rsidP="00FB4BE5">
      <w:pPr>
        <w:autoSpaceDE w:val="0"/>
        <w:autoSpaceDN w:val="0"/>
        <w:adjustRightInd w:val="0"/>
        <w:spacing w:after="0" w:line="240" w:lineRule="auto"/>
        <w:jc w:val="both"/>
        <w:rPr>
          <w:rFonts w:ascii="Times New Roman" w:hAnsi="Times New Roman" w:cs="Times New Roman"/>
          <w:sz w:val="24"/>
          <w:szCs w:val="24"/>
        </w:rPr>
      </w:pPr>
      <w:r w:rsidRPr="00A77751">
        <w:rPr>
          <w:rFonts w:ascii="Times New Roman" w:hAnsi="Times New Roman" w:cs="Times New Roman"/>
          <w:sz w:val="24"/>
          <w:szCs w:val="24"/>
        </w:rPr>
        <w:t xml:space="preserve"> </w:t>
      </w:r>
    </w:p>
    <w:p w:rsidR="00FB4BE5" w:rsidRPr="00492C12" w:rsidRDefault="00FB4BE5" w:rsidP="00FB4BE5">
      <w:pPr>
        <w:autoSpaceDE w:val="0"/>
        <w:autoSpaceDN w:val="0"/>
        <w:adjustRightInd w:val="0"/>
        <w:spacing w:after="0" w:line="240" w:lineRule="auto"/>
        <w:jc w:val="both"/>
        <w:rPr>
          <w:rFonts w:ascii="Times New Roman" w:hAnsi="Times New Roman" w:cs="Times New Roman"/>
          <w:b/>
          <w:i/>
          <w:sz w:val="24"/>
          <w:szCs w:val="24"/>
        </w:rPr>
      </w:pPr>
      <w:r w:rsidRPr="00492C12">
        <w:rPr>
          <w:rFonts w:ascii="Times New Roman" w:hAnsi="Times New Roman" w:cs="Times New Roman"/>
          <w:b/>
          <w:i/>
          <w:sz w:val="24"/>
          <w:szCs w:val="24"/>
        </w:rPr>
        <w:t>Product classification</w:t>
      </w:r>
    </w:p>
    <w:p w:rsidR="00FB4BE5" w:rsidRPr="00492C12" w:rsidRDefault="00FB4BE5" w:rsidP="00FB4BE5">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sz w:val="24"/>
          <w:szCs w:val="24"/>
        </w:rPr>
      </w:pPr>
      <w:r w:rsidRPr="00492C12">
        <w:rPr>
          <w:rFonts w:ascii="Times New Roman" w:hAnsi="Times New Roman" w:cs="Times New Roman"/>
          <w:sz w:val="24"/>
          <w:szCs w:val="24"/>
        </w:rPr>
        <w:t xml:space="preserve">Exporters should </w:t>
      </w:r>
      <w:r w:rsidRPr="003057DA">
        <w:rPr>
          <w:rFonts w:ascii="Times New Roman" w:hAnsi="Times New Roman" w:cs="Times New Roman"/>
          <w:b/>
          <w:sz w:val="24"/>
          <w:szCs w:val="24"/>
        </w:rPr>
        <w:t>classify each product</w:t>
      </w:r>
      <w:r>
        <w:rPr>
          <w:rFonts w:ascii="Times New Roman" w:hAnsi="Times New Roman" w:cs="Times New Roman"/>
          <w:sz w:val="24"/>
          <w:szCs w:val="24"/>
        </w:rPr>
        <w:t xml:space="preserve"> in accordance with</w:t>
      </w:r>
      <w:r w:rsidRPr="00492C12">
        <w:rPr>
          <w:rFonts w:ascii="Times New Roman" w:hAnsi="Times New Roman" w:cs="Times New Roman"/>
          <w:sz w:val="24"/>
          <w:szCs w:val="24"/>
        </w:rPr>
        <w:t xml:space="preserve"> the requirements of the strategic trade control regulations in the country in which they operate. </w:t>
      </w:r>
      <w:r w:rsidRPr="00492C12">
        <w:rPr>
          <w:rFonts w:ascii="Times New Roman" w:hAnsi="Times New Roman" w:cs="Times New Roman"/>
          <w:sz w:val="24"/>
          <w:szCs w:val="24"/>
          <w:u w:val="single"/>
        </w:rPr>
        <w:t>Note</w:t>
      </w:r>
      <w:r w:rsidRPr="00492C12">
        <w:rPr>
          <w:rFonts w:ascii="Times New Roman" w:hAnsi="Times New Roman" w:cs="Times New Roman"/>
          <w:sz w:val="24"/>
          <w:szCs w:val="24"/>
        </w:rPr>
        <w:t xml:space="preserve">: </w:t>
      </w:r>
      <w:r w:rsidRPr="00492C12">
        <w:rPr>
          <w:rFonts w:ascii="Times New Roman" w:hAnsi="Times New Roman" w:cs="Times New Roman"/>
          <w:i/>
          <w:sz w:val="24"/>
          <w:szCs w:val="24"/>
        </w:rPr>
        <w:t xml:space="preserve">If the finished product contains controlled U.S.-origin technology, the transaction may also be subject to </w:t>
      </w:r>
      <w:r w:rsidRPr="00BD28D4">
        <w:rPr>
          <w:rFonts w:ascii="Times New Roman" w:hAnsi="Times New Roman" w:cs="Times New Roman"/>
          <w:b/>
          <w:i/>
          <w:sz w:val="24"/>
          <w:szCs w:val="24"/>
        </w:rPr>
        <w:t>U.S. extra-territorial re-export controls</w:t>
      </w:r>
      <w:r w:rsidRPr="00492C12">
        <w:rPr>
          <w:rFonts w:ascii="Times New Roman" w:hAnsi="Times New Roman" w:cs="Times New Roman"/>
          <w:i/>
          <w:sz w:val="24"/>
          <w:szCs w:val="24"/>
        </w:rPr>
        <w:t>.</w:t>
      </w:r>
    </w:p>
    <w:p w:rsidR="00FB4BE5" w:rsidRPr="00492C12" w:rsidRDefault="00FB4BE5" w:rsidP="00FB4BE5">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sz w:val="24"/>
          <w:szCs w:val="24"/>
        </w:rPr>
      </w:pPr>
      <w:r w:rsidRPr="00492C12">
        <w:rPr>
          <w:rFonts w:ascii="Times New Roman" w:hAnsi="Times New Roman" w:cs="Times New Roman"/>
          <w:sz w:val="24"/>
          <w:szCs w:val="24"/>
        </w:rPr>
        <w:t xml:space="preserve">Exporters should </w:t>
      </w:r>
      <w:r w:rsidRPr="00492C12">
        <w:rPr>
          <w:rFonts w:ascii="Times New Roman" w:hAnsi="Times New Roman" w:cs="Times New Roman"/>
          <w:b/>
          <w:sz w:val="24"/>
          <w:szCs w:val="24"/>
        </w:rPr>
        <w:t>communicate the appropriate commodity</w:t>
      </w:r>
      <w:r>
        <w:rPr>
          <w:rFonts w:ascii="Times New Roman" w:hAnsi="Times New Roman" w:cs="Times New Roman"/>
          <w:b/>
          <w:sz w:val="24"/>
          <w:szCs w:val="24"/>
        </w:rPr>
        <w:t xml:space="preserve"> or export</w:t>
      </w:r>
      <w:r w:rsidRPr="00492C12">
        <w:rPr>
          <w:rFonts w:ascii="Times New Roman" w:hAnsi="Times New Roman" w:cs="Times New Roman"/>
          <w:b/>
          <w:sz w:val="24"/>
          <w:szCs w:val="24"/>
        </w:rPr>
        <w:t xml:space="preserve"> classification number </w:t>
      </w:r>
      <w:r w:rsidRPr="00492C12">
        <w:rPr>
          <w:rFonts w:ascii="Times New Roman" w:hAnsi="Times New Roman" w:cs="Times New Roman"/>
          <w:sz w:val="24"/>
          <w:szCs w:val="24"/>
        </w:rPr>
        <w:t>(CCN</w:t>
      </w:r>
      <w:r>
        <w:rPr>
          <w:rFonts w:ascii="Times New Roman" w:hAnsi="Times New Roman" w:cs="Times New Roman"/>
          <w:sz w:val="24"/>
          <w:szCs w:val="24"/>
        </w:rPr>
        <w:t>/ECN</w:t>
      </w:r>
      <w:r w:rsidRPr="00492C12">
        <w:rPr>
          <w:rFonts w:ascii="Times New Roman" w:hAnsi="Times New Roman" w:cs="Times New Roman"/>
          <w:sz w:val="24"/>
          <w:szCs w:val="24"/>
        </w:rPr>
        <w:t xml:space="preserve">) or other classification information for each export </w:t>
      </w:r>
      <w:r w:rsidRPr="00492C12">
        <w:rPr>
          <w:rFonts w:ascii="Times New Roman" w:hAnsi="Times New Roman" w:cs="Times New Roman"/>
          <w:b/>
          <w:sz w:val="24"/>
          <w:szCs w:val="24"/>
        </w:rPr>
        <w:t>to the trade facilitator or freight forwarder and the end-user</w:t>
      </w:r>
      <w:r>
        <w:rPr>
          <w:rFonts w:ascii="Times New Roman" w:hAnsi="Times New Roman" w:cs="Times New Roman"/>
          <w:sz w:val="24"/>
          <w:szCs w:val="24"/>
        </w:rPr>
        <w:t xml:space="preserve"> involved in that export</w:t>
      </w:r>
      <w:r w:rsidRPr="00492C12">
        <w:rPr>
          <w:rFonts w:ascii="Times New Roman" w:hAnsi="Times New Roman" w:cs="Times New Roman"/>
          <w:sz w:val="24"/>
          <w:szCs w:val="24"/>
        </w:rPr>
        <w:t>.</w:t>
      </w:r>
    </w:p>
    <w:p w:rsidR="00FB4BE5" w:rsidRPr="00A77751" w:rsidRDefault="00FB4BE5" w:rsidP="00FB4BE5">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sz w:val="24"/>
          <w:szCs w:val="24"/>
        </w:rPr>
      </w:pPr>
      <w:r w:rsidRPr="00A77751">
        <w:rPr>
          <w:rFonts w:ascii="Times New Roman" w:hAnsi="Times New Roman" w:cs="Times New Roman"/>
          <w:sz w:val="24"/>
          <w:szCs w:val="24"/>
        </w:rPr>
        <w:t xml:space="preserve">The freight forwarders and logistics </w:t>
      </w:r>
      <w:r>
        <w:rPr>
          <w:rFonts w:ascii="Times New Roman" w:hAnsi="Times New Roman" w:cs="Times New Roman"/>
          <w:sz w:val="24"/>
          <w:szCs w:val="24"/>
        </w:rPr>
        <w:t>enterpris</w:t>
      </w:r>
      <w:r w:rsidRPr="00A77751">
        <w:rPr>
          <w:rFonts w:ascii="Times New Roman" w:hAnsi="Times New Roman" w:cs="Times New Roman"/>
          <w:sz w:val="24"/>
          <w:szCs w:val="24"/>
        </w:rPr>
        <w:t xml:space="preserve">es must assure that the information they input in the </w:t>
      </w:r>
      <w:r w:rsidRPr="00BD28D4">
        <w:rPr>
          <w:rFonts w:ascii="Times New Roman" w:hAnsi="Times New Roman" w:cs="Times New Roman"/>
          <w:sz w:val="24"/>
          <w:szCs w:val="24"/>
        </w:rPr>
        <w:t>export related</w:t>
      </w:r>
      <w:r w:rsidRPr="00492C12">
        <w:rPr>
          <w:rFonts w:ascii="Times New Roman" w:hAnsi="Times New Roman" w:cs="Times New Roman"/>
          <w:b/>
          <w:sz w:val="24"/>
          <w:szCs w:val="24"/>
        </w:rPr>
        <w:t xml:space="preserve"> documents </w:t>
      </w:r>
      <w:r w:rsidRPr="00BD28D4">
        <w:rPr>
          <w:rFonts w:ascii="Times New Roman" w:hAnsi="Times New Roman" w:cs="Times New Roman"/>
          <w:sz w:val="24"/>
          <w:szCs w:val="24"/>
        </w:rPr>
        <w:t xml:space="preserve">is </w:t>
      </w:r>
      <w:r w:rsidRPr="00492C12">
        <w:rPr>
          <w:rFonts w:ascii="Times New Roman" w:hAnsi="Times New Roman" w:cs="Times New Roman"/>
          <w:b/>
          <w:sz w:val="24"/>
          <w:szCs w:val="24"/>
        </w:rPr>
        <w:t>current and accurate</w:t>
      </w:r>
      <w:r w:rsidRPr="00A77751">
        <w:rPr>
          <w:rFonts w:ascii="Times New Roman" w:hAnsi="Times New Roman" w:cs="Times New Roman"/>
          <w:sz w:val="24"/>
          <w:szCs w:val="24"/>
        </w:rPr>
        <w:t>.</w:t>
      </w:r>
    </w:p>
    <w:p w:rsidR="00FB4BE5" w:rsidRPr="00A77751" w:rsidRDefault="00FB4BE5" w:rsidP="00FB4BE5">
      <w:pPr>
        <w:pStyle w:val="ListParagraph"/>
        <w:numPr>
          <w:ilvl w:val="1"/>
          <w:numId w:val="26"/>
        </w:numPr>
        <w:autoSpaceDE w:val="0"/>
        <w:autoSpaceDN w:val="0"/>
        <w:adjustRightInd w:val="0"/>
        <w:spacing w:before="120" w:after="0" w:line="240" w:lineRule="auto"/>
        <w:ind w:left="720"/>
        <w:contextualSpacing w:val="0"/>
        <w:jc w:val="both"/>
        <w:rPr>
          <w:rFonts w:ascii="Times New Roman" w:hAnsi="Times New Roman" w:cs="Times New Roman"/>
          <w:sz w:val="24"/>
          <w:szCs w:val="24"/>
        </w:rPr>
      </w:pPr>
      <w:r w:rsidRPr="00A77751">
        <w:rPr>
          <w:rFonts w:ascii="Times New Roman" w:hAnsi="Times New Roman" w:cs="Times New Roman"/>
          <w:sz w:val="24"/>
          <w:szCs w:val="24"/>
        </w:rPr>
        <w:t xml:space="preserve">All (exporting, freight forwarding, and logistics) enterprises involved in the transaction should also </w:t>
      </w:r>
      <w:r w:rsidRPr="00492C12">
        <w:rPr>
          <w:rFonts w:ascii="Times New Roman" w:hAnsi="Times New Roman" w:cs="Times New Roman"/>
          <w:b/>
          <w:sz w:val="24"/>
          <w:szCs w:val="24"/>
        </w:rPr>
        <w:t>maintain a record of each classification</w:t>
      </w:r>
      <w:r w:rsidRPr="00A77751">
        <w:rPr>
          <w:rFonts w:ascii="Times New Roman" w:hAnsi="Times New Roman" w:cs="Times New Roman"/>
          <w:sz w:val="24"/>
          <w:szCs w:val="24"/>
        </w:rPr>
        <w:t xml:space="preserve"> for every export.</w:t>
      </w:r>
    </w:p>
    <w:p w:rsidR="00FB4BE5" w:rsidRPr="00A77751"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A77751" w:rsidRDefault="00FB4BE5" w:rsidP="00FB4BE5">
      <w:pPr>
        <w:autoSpaceDE w:val="0"/>
        <w:autoSpaceDN w:val="0"/>
        <w:adjustRightInd w:val="0"/>
        <w:spacing w:after="0" w:line="240" w:lineRule="auto"/>
        <w:jc w:val="both"/>
        <w:rPr>
          <w:rFonts w:ascii="Times New Roman" w:hAnsi="Times New Roman" w:cs="Times New Roman"/>
          <w:b/>
          <w:i/>
          <w:sz w:val="24"/>
          <w:szCs w:val="24"/>
        </w:rPr>
      </w:pPr>
      <w:r w:rsidRPr="00A77751">
        <w:rPr>
          <w:rFonts w:ascii="Times New Roman" w:hAnsi="Times New Roman" w:cs="Times New Roman"/>
          <w:b/>
          <w:i/>
          <w:sz w:val="24"/>
          <w:szCs w:val="24"/>
        </w:rPr>
        <w:t>End-Use and Party Screening</w:t>
      </w:r>
    </w:p>
    <w:p w:rsidR="00FB4BE5" w:rsidRPr="00A77751" w:rsidRDefault="00FB4BE5" w:rsidP="00FB4BE5">
      <w:pPr>
        <w:pStyle w:val="ListParagraph"/>
        <w:numPr>
          <w:ilvl w:val="0"/>
          <w:numId w:val="28"/>
        </w:numPr>
        <w:autoSpaceDE w:val="0"/>
        <w:autoSpaceDN w:val="0"/>
        <w:adjustRightInd w:val="0"/>
        <w:spacing w:before="120" w:after="120" w:line="240" w:lineRule="auto"/>
        <w:contextualSpacing w:val="0"/>
        <w:rPr>
          <w:rFonts w:ascii="Times New Roman" w:hAnsi="Times New Roman" w:cs="Times New Roman"/>
          <w:sz w:val="24"/>
          <w:szCs w:val="24"/>
        </w:rPr>
      </w:pPr>
      <w:r w:rsidRPr="00A77751">
        <w:rPr>
          <w:rFonts w:ascii="Times New Roman" w:hAnsi="Times New Roman" w:cs="Times New Roman"/>
          <w:sz w:val="24"/>
          <w:szCs w:val="24"/>
        </w:rPr>
        <w:t xml:space="preserve">All enterprises should </w:t>
      </w:r>
      <w:r w:rsidRPr="00492C12">
        <w:rPr>
          <w:rFonts w:ascii="Times New Roman" w:hAnsi="Times New Roman" w:cs="Times New Roman"/>
          <w:b/>
          <w:sz w:val="24"/>
          <w:szCs w:val="24"/>
        </w:rPr>
        <w:t>screen all parties to the transaction against all restricted parties lists required under your country’s STC rules</w:t>
      </w:r>
      <w:r w:rsidRPr="00A77751">
        <w:rPr>
          <w:rFonts w:ascii="Times New Roman" w:hAnsi="Times New Roman" w:cs="Times New Roman"/>
          <w:sz w:val="24"/>
          <w:szCs w:val="24"/>
        </w:rPr>
        <w:t xml:space="preserve"> (Examples: </w:t>
      </w:r>
      <w:r>
        <w:rPr>
          <w:rFonts w:ascii="Times New Roman" w:hAnsi="Times New Roman" w:cs="Times New Roman"/>
          <w:sz w:val="24"/>
          <w:szCs w:val="24"/>
        </w:rPr>
        <w:t xml:space="preserve">national/unilateral restricted party list, </w:t>
      </w:r>
      <w:r w:rsidRPr="00A77751">
        <w:rPr>
          <w:rFonts w:ascii="Times New Roman" w:hAnsi="Times New Roman" w:cs="Times New Roman"/>
          <w:sz w:val="24"/>
          <w:szCs w:val="24"/>
        </w:rPr>
        <w:t xml:space="preserve">UN Consolidated Sanctions List, Japan Foreign End-User of Concern list, </w:t>
      </w:r>
      <w:r>
        <w:rPr>
          <w:rFonts w:ascii="Times New Roman" w:hAnsi="Times New Roman" w:cs="Times New Roman"/>
          <w:sz w:val="24"/>
          <w:szCs w:val="24"/>
        </w:rPr>
        <w:t>or the</w:t>
      </w:r>
      <w:r w:rsidRPr="00A77751">
        <w:rPr>
          <w:rFonts w:ascii="Times New Roman" w:hAnsi="Times New Roman" w:cs="Times New Roman"/>
          <w:sz w:val="24"/>
          <w:szCs w:val="24"/>
        </w:rPr>
        <w:t xml:space="preserve"> EU Consolidated List) and maintain records of all screenings.</w:t>
      </w:r>
    </w:p>
    <w:p w:rsidR="00FB4BE5" w:rsidRPr="00A77751" w:rsidRDefault="00FB4BE5" w:rsidP="00FB4BE5">
      <w:pPr>
        <w:pStyle w:val="ListParagraph"/>
        <w:numPr>
          <w:ilvl w:val="0"/>
          <w:numId w:val="28"/>
        </w:numPr>
        <w:autoSpaceDE w:val="0"/>
        <w:autoSpaceDN w:val="0"/>
        <w:adjustRightInd w:val="0"/>
        <w:spacing w:before="120" w:after="0" w:line="240" w:lineRule="auto"/>
        <w:contextualSpacing w:val="0"/>
        <w:rPr>
          <w:rFonts w:ascii="Times New Roman" w:hAnsi="Times New Roman" w:cs="Times New Roman"/>
          <w:sz w:val="24"/>
          <w:szCs w:val="24"/>
        </w:rPr>
      </w:pPr>
      <w:r w:rsidRPr="00A77751">
        <w:rPr>
          <w:rFonts w:ascii="Times New Roman" w:hAnsi="Times New Roman" w:cs="Times New Roman"/>
          <w:sz w:val="24"/>
          <w:szCs w:val="24"/>
        </w:rPr>
        <w:t xml:space="preserve">All enterprises should </w:t>
      </w:r>
      <w:r w:rsidRPr="00492C12">
        <w:rPr>
          <w:rFonts w:ascii="Times New Roman" w:hAnsi="Times New Roman" w:cs="Times New Roman"/>
          <w:b/>
          <w:sz w:val="24"/>
          <w:szCs w:val="24"/>
        </w:rPr>
        <w:t>screen all exports/re-exports against a list of embargoed/sanctioned destinations</w:t>
      </w:r>
      <w:r w:rsidRPr="00A77751">
        <w:rPr>
          <w:rFonts w:ascii="Times New Roman" w:hAnsi="Times New Roman" w:cs="Times New Roman"/>
          <w:sz w:val="24"/>
          <w:szCs w:val="24"/>
        </w:rPr>
        <w:t xml:space="preserve"> and maintain records of all such screenings.</w:t>
      </w:r>
    </w:p>
    <w:p w:rsidR="00FB4BE5" w:rsidRPr="00A77751" w:rsidRDefault="00FB4BE5" w:rsidP="00FB4BE5">
      <w:pPr>
        <w:autoSpaceDE w:val="0"/>
        <w:autoSpaceDN w:val="0"/>
        <w:adjustRightInd w:val="0"/>
        <w:spacing w:after="0" w:line="240" w:lineRule="auto"/>
        <w:jc w:val="both"/>
        <w:rPr>
          <w:rFonts w:ascii="Times New Roman" w:hAnsi="Times New Roman" w:cs="Times New Roman"/>
          <w:b/>
          <w:i/>
          <w:sz w:val="24"/>
          <w:szCs w:val="24"/>
        </w:rPr>
      </w:pPr>
    </w:p>
    <w:p w:rsidR="00FB4BE5" w:rsidRPr="00A77751" w:rsidRDefault="00FB4BE5" w:rsidP="00FB4BE5">
      <w:pPr>
        <w:autoSpaceDE w:val="0"/>
        <w:autoSpaceDN w:val="0"/>
        <w:adjustRightInd w:val="0"/>
        <w:spacing w:after="0" w:line="240" w:lineRule="auto"/>
        <w:jc w:val="both"/>
        <w:rPr>
          <w:rFonts w:ascii="Times New Roman" w:hAnsi="Times New Roman" w:cs="Times New Roman"/>
          <w:b/>
          <w:i/>
          <w:sz w:val="24"/>
          <w:szCs w:val="24"/>
        </w:rPr>
      </w:pPr>
      <w:r w:rsidRPr="00A77751">
        <w:rPr>
          <w:rFonts w:ascii="Times New Roman" w:hAnsi="Times New Roman" w:cs="Times New Roman"/>
          <w:b/>
          <w:i/>
          <w:sz w:val="24"/>
          <w:szCs w:val="24"/>
        </w:rPr>
        <w:t>Transit/transshipment hub</w:t>
      </w:r>
    </w:p>
    <w:p w:rsidR="00FB4BE5" w:rsidRPr="00A77751" w:rsidRDefault="00FB4BE5" w:rsidP="00FB4BE5">
      <w:pPr>
        <w:pStyle w:val="ListParagraph"/>
        <w:numPr>
          <w:ilvl w:val="0"/>
          <w:numId w:val="27"/>
        </w:numPr>
        <w:autoSpaceDE w:val="0"/>
        <w:autoSpaceDN w:val="0"/>
        <w:adjustRightInd w:val="0"/>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E</w:t>
      </w:r>
      <w:r w:rsidRPr="00A77751">
        <w:rPr>
          <w:rFonts w:ascii="Times New Roman" w:hAnsi="Times New Roman" w:cs="Times New Roman"/>
          <w:sz w:val="24"/>
          <w:szCs w:val="24"/>
        </w:rPr>
        <w:t xml:space="preserve">nterprises should pay special attention with respect to, from, or through </w:t>
      </w:r>
      <w:r w:rsidRPr="00492C12">
        <w:rPr>
          <w:rFonts w:ascii="Times New Roman" w:hAnsi="Times New Roman" w:cs="Times New Roman"/>
          <w:b/>
          <w:sz w:val="24"/>
          <w:szCs w:val="24"/>
        </w:rPr>
        <w:t>transit or transshipment hubs</w:t>
      </w:r>
      <w:r w:rsidRPr="00A77751">
        <w:rPr>
          <w:rFonts w:ascii="Times New Roman" w:hAnsi="Times New Roman" w:cs="Times New Roman"/>
          <w:sz w:val="24"/>
          <w:szCs w:val="24"/>
        </w:rPr>
        <w:t xml:space="preserve"> as they may provide opportunity to conceal the true end-user</w:t>
      </w:r>
    </w:p>
    <w:p w:rsidR="00FB4BE5" w:rsidRPr="00A77751" w:rsidRDefault="00FB4BE5" w:rsidP="00FB4BE5">
      <w:pPr>
        <w:pStyle w:val="ListParagraph"/>
        <w:numPr>
          <w:ilvl w:val="0"/>
          <w:numId w:val="27"/>
        </w:numPr>
        <w:autoSpaceDE w:val="0"/>
        <w:autoSpaceDN w:val="0"/>
        <w:adjustRightInd w:val="0"/>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Pr="00A77751">
        <w:rPr>
          <w:rFonts w:ascii="Times New Roman" w:hAnsi="Times New Roman" w:cs="Times New Roman"/>
          <w:sz w:val="24"/>
          <w:szCs w:val="24"/>
        </w:rPr>
        <w:t xml:space="preserve">ll enterprises should have in place compliance and or business procedures to be immediately </w:t>
      </w:r>
      <w:r w:rsidRPr="00492C12">
        <w:rPr>
          <w:rFonts w:ascii="Times New Roman" w:hAnsi="Times New Roman" w:cs="Times New Roman"/>
          <w:b/>
          <w:sz w:val="24"/>
          <w:szCs w:val="24"/>
        </w:rPr>
        <w:t>responsive to theft or diversion</w:t>
      </w:r>
      <w:r w:rsidRPr="00A77751">
        <w:rPr>
          <w:rFonts w:ascii="Times New Roman" w:hAnsi="Times New Roman" w:cs="Times New Roman"/>
          <w:sz w:val="24"/>
          <w:szCs w:val="24"/>
        </w:rPr>
        <w:t xml:space="preserve">. This includes procedures such as document confirmation to ensure that the exported </w:t>
      </w:r>
      <w:r>
        <w:rPr>
          <w:rFonts w:ascii="Times New Roman" w:hAnsi="Times New Roman" w:cs="Times New Roman"/>
          <w:sz w:val="24"/>
          <w:szCs w:val="24"/>
        </w:rPr>
        <w:t xml:space="preserve">item </w:t>
      </w:r>
      <w:r w:rsidRPr="00A77751">
        <w:rPr>
          <w:rFonts w:ascii="Times New Roman" w:hAnsi="Times New Roman" w:cs="Times New Roman"/>
          <w:sz w:val="24"/>
          <w:szCs w:val="24"/>
        </w:rPr>
        <w:t>has reached the appropriate end-user.</w:t>
      </w:r>
    </w:p>
    <w:p w:rsidR="00FB4BE5" w:rsidRPr="00A77751" w:rsidRDefault="00FB4BE5" w:rsidP="00FB4BE5">
      <w:pPr>
        <w:pStyle w:val="ListParagraph"/>
        <w:numPr>
          <w:ilvl w:val="0"/>
          <w:numId w:val="27"/>
        </w:numPr>
        <w:autoSpaceDE w:val="0"/>
        <w:autoSpaceDN w:val="0"/>
        <w:adjustRightInd w:val="0"/>
        <w:spacing w:before="120"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Pr="00A77751">
        <w:rPr>
          <w:rFonts w:ascii="Times New Roman" w:hAnsi="Times New Roman" w:cs="Times New Roman"/>
          <w:sz w:val="24"/>
          <w:szCs w:val="24"/>
        </w:rPr>
        <w:t>ll enterprises should pay h</w:t>
      </w:r>
      <w:r>
        <w:rPr>
          <w:rFonts w:ascii="Times New Roman" w:hAnsi="Times New Roman" w:cs="Times New Roman"/>
          <w:sz w:val="24"/>
          <w:szCs w:val="24"/>
        </w:rPr>
        <w:t xml:space="preserve">eightened </w:t>
      </w:r>
      <w:r w:rsidRPr="00A77751">
        <w:rPr>
          <w:rFonts w:ascii="Times New Roman" w:hAnsi="Times New Roman" w:cs="Times New Roman"/>
          <w:sz w:val="24"/>
          <w:szCs w:val="24"/>
        </w:rPr>
        <w:t xml:space="preserve">attention to </w:t>
      </w:r>
      <w:r>
        <w:rPr>
          <w:rFonts w:ascii="Times New Roman" w:hAnsi="Times New Roman" w:cs="Times New Roman"/>
          <w:sz w:val="24"/>
          <w:szCs w:val="24"/>
        </w:rPr>
        <w:t>“</w:t>
      </w:r>
      <w:r w:rsidRPr="00492C12">
        <w:rPr>
          <w:rFonts w:ascii="Times New Roman" w:hAnsi="Times New Roman" w:cs="Times New Roman"/>
          <w:b/>
          <w:sz w:val="24"/>
          <w:szCs w:val="24"/>
        </w:rPr>
        <w:t>red flag” indicators</w:t>
      </w:r>
      <w:r w:rsidRPr="00A77751">
        <w:rPr>
          <w:rFonts w:ascii="Times New Roman" w:hAnsi="Times New Roman" w:cs="Times New Roman"/>
          <w:sz w:val="24"/>
          <w:szCs w:val="24"/>
        </w:rPr>
        <w:t xml:space="preserve"> and other </w:t>
      </w:r>
      <w:r w:rsidRPr="00492C12">
        <w:rPr>
          <w:rFonts w:ascii="Times New Roman" w:hAnsi="Times New Roman" w:cs="Times New Roman"/>
          <w:b/>
          <w:sz w:val="24"/>
          <w:szCs w:val="24"/>
        </w:rPr>
        <w:t>indicators of diversion or proliferation risk</w:t>
      </w:r>
      <w:r w:rsidRPr="00A77751">
        <w:rPr>
          <w:rFonts w:ascii="Times New Roman" w:hAnsi="Times New Roman" w:cs="Times New Roman"/>
          <w:sz w:val="24"/>
          <w:szCs w:val="24"/>
        </w:rPr>
        <w:t>.</w:t>
      </w:r>
    </w:p>
    <w:p w:rsidR="00FB4BE5" w:rsidRPr="00A77751"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A77751" w:rsidRDefault="00FB4BE5" w:rsidP="00FB4BE5">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2CDD227A" wp14:editId="3A806515">
            <wp:simplePos x="0" y="0"/>
            <wp:positionH relativeFrom="margin">
              <wp:posOffset>4290695</wp:posOffset>
            </wp:positionH>
            <wp:positionV relativeFrom="margin">
              <wp:posOffset>6470650</wp:posOffset>
            </wp:positionV>
            <wp:extent cx="1605280" cy="15500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 - Stop Image - Shuttersto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5280" cy="1550035"/>
                    </a:xfrm>
                    <a:prstGeom prst="rect">
                      <a:avLst/>
                    </a:prstGeom>
                  </pic:spPr>
                </pic:pic>
              </a:graphicData>
            </a:graphic>
            <wp14:sizeRelH relativeFrom="margin">
              <wp14:pctWidth>0</wp14:pctWidth>
            </wp14:sizeRelH>
            <wp14:sizeRelV relativeFrom="margin">
              <wp14:pctHeight>0</wp14:pctHeight>
            </wp14:sizeRelV>
          </wp:anchor>
        </w:drawing>
      </w:r>
      <w:r w:rsidRPr="00A77751">
        <w:rPr>
          <w:rFonts w:ascii="Times New Roman" w:hAnsi="Times New Roman" w:cs="Times New Roman"/>
          <w:b/>
          <w:i/>
          <w:sz w:val="24"/>
          <w:szCs w:val="24"/>
        </w:rPr>
        <w:t>Responding to suspicious transactions</w:t>
      </w:r>
    </w:p>
    <w:p w:rsidR="00FB4BE5" w:rsidRPr="00A77751" w:rsidRDefault="00FB4BE5" w:rsidP="00FB4BE5">
      <w:pPr>
        <w:pStyle w:val="ListParagraph"/>
        <w:numPr>
          <w:ilvl w:val="0"/>
          <w:numId w:val="30"/>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A77751">
        <w:rPr>
          <w:rFonts w:ascii="Times New Roman" w:hAnsi="Times New Roman" w:cs="Times New Roman"/>
          <w:sz w:val="24"/>
          <w:szCs w:val="24"/>
        </w:rPr>
        <w:t xml:space="preserve">When any company </w:t>
      </w:r>
      <w:r>
        <w:rPr>
          <w:rFonts w:ascii="Times New Roman" w:hAnsi="Times New Roman" w:cs="Times New Roman"/>
          <w:sz w:val="24"/>
          <w:szCs w:val="24"/>
        </w:rPr>
        <w:t>en</w:t>
      </w:r>
      <w:r w:rsidRPr="00A77751">
        <w:rPr>
          <w:rFonts w:ascii="Times New Roman" w:hAnsi="Times New Roman" w:cs="Times New Roman"/>
          <w:sz w:val="24"/>
          <w:szCs w:val="24"/>
        </w:rPr>
        <w:t xml:space="preserve">counters a suspicious transaction, it should </w:t>
      </w:r>
      <w:r w:rsidRPr="00492C12">
        <w:rPr>
          <w:rFonts w:ascii="Times New Roman" w:hAnsi="Times New Roman" w:cs="Times New Roman"/>
          <w:b/>
          <w:sz w:val="24"/>
          <w:szCs w:val="24"/>
        </w:rPr>
        <w:t>hold the shipment</w:t>
      </w:r>
      <w:r w:rsidRPr="00A77751">
        <w:rPr>
          <w:rFonts w:ascii="Times New Roman" w:hAnsi="Times New Roman" w:cs="Times New Roman"/>
          <w:sz w:val="24"/>
          <w:szCs w:val="24"/>
        </w:rPr>
        <w:t xml:space="preserve"> and consult with this empowered compliance official.</w:t>
      </w:r>
    </w:p>
    <w:p w:rsidR="00FB4BE5" w:rsidRPr="00852626" w:rsidRDefault="00FB4BE5" w:rsidP="00FB4BE5">
      <w:pPr>
        <w:pStyle w:val="ListParagraph"/>
        <w:numPr>
          <w:ilvl w:val="0"/>
          <w:numId w:val="28"/>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A77751">
        <w:rPr>
          <w:rFonts w:ascii="Times New Roman" w:hAnsi="Times New Roman" w:cs="Times New Roman"/>
          <w:sz w:val="24"/>
          <w:szCs w:val="24"/>
        </w:rPr>
        <w:t xml:space="preserve">If the transaction is determined to involve potential or actual violation of applicable </w:t>
      </w:r>
      <w:r>
        <w:rPr>
          <w:rFonts w:ascii="Times New Roman" w:hAnsi="Times New Roman" w:cs="Times New Roman"/>
          <w:sz w:val="24"/>
          <w:szCs w:val="24"/>
        </w:rPr>
        <w:t>STC</w:t>
      </w:r>
      <w:r w:rsidRPr="00A77751">
        <w:rPr>
          <w:rFonts w:ascii="Times New Roman" w:hAnsi="Times New Roman" w:cs="Times New Roman"/>
          <w:sz w:val="24"/>
          <w:szCs w:val="24"/>
        </w:rPr>
        <w:t xml:space="preserve"> regulations, the enterprise should </w:t>
      </w:r>
      <w:r w:rsidRPr="003057DA">
        <w:rPr>
          <w:rFonts w:ascii="Times New Roman" w:hAnsi="Times New Roman" w:cs="Times New Roman"/>
          <w:b/>
          <w:sz w:val="24"/>
          <w:szCs w:val="24"/>
        </w:rPr>
        <w:t>contact the appropriate government agency</w:t>
      </w:r>
      <w:r w:rsidRPr="00A77751">
        <w:rPr>
          <w:rFonts w:ascii="Times New Roman" w:hAnsi="Times New Roman" w:cs="Times New Roman"/>
          <w:sz w:val="24"/>
          <w:szCs w:val="24"/>
        </w:rPr>
        <w:t xml:space="preserve"> immediately and retain all relevant records.</w:t>
      </w:r>
      <w:r w:rsidRPr="00852626">
        <w:rPr>
          <w:rFonts w:ascii="Times New Roman" w:hAnsi="Times New Roman" w:cs="Times New Roman"/>
        </w:rPr>
        <w:br w:type="page"/>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u w:val="single"/>
        </w:rPr>
        <w:lastRenderedPageBreak/>
        <w:t>Licensing Requirements: Non-listed Items and Catch-all Controls</w:t>
      </w:r>
      <w:r w:rsidRPr="00DB790F">
        <w:rPr>
          <w:rFonts w:ascii="Times New Roman" w:hAnsi="Times New Roman" w:cs="Times New Roman"/>
          <w:sz w:val="24"/>
          <w:szCs w:val="24"/>
        </w:rPr>
        <w:t xml:space="preserve">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noProof/>
          <w:sz w:val="24"/>
          <w:szCs w:val="24"/>
        </w:rPr>
        <w:drawing>
          <wp:anchor distT="0" distB="0" distL="114300" distR="114300" simplePos="0" relativeHeight="251660288" behindDoc="0" locked="0" layoutInCell="1" allowOverlap="1" wp14:anchorId="6AB2AA65" wp14:editId="633FE7BD">
            <wp:simplePos x="0" y="0"/>
            <wp:positionH relativeFrom="margin">
              <wp:posOffset>3721100</wp:posOffset>
            </wp:positionH>
            <wp:positionV relativeFrom="margin">
              <wp:posOffset>467360</wp:posOffset>
            </wp:positionV>
            <wp:extent cx="2221865" cy="170434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3.bmp"/>
                    <pic:cNvPicPr/>
                  </pic:nvPicPr>
                  <pic:blipFill>
                    <a:blip r:embed="rId18">
                      <a:extLst>
                        <a:ext uri="{28A0092B-C50C-407E-A947-70E740481C1C}">
                          <a14:useLocalDpi xmlns:a14="http://schemas.microsoft.com/office/drawing/2010/main" val="0"/>
                        </a:ext>
                      </a:extLst>
                    </a:blip>
                    <a:stretch>
                      <a:fillRect/>
                    </a:stretch>
                  </pic:blipFill>
                  <pic:spPr>
                    <a:xfrm>
                      <a:off x="0" y="0"/>
                      <a:ext cx="2221865" cy="1704340"/>
                    </a:xfrm>
                    <a:prstGeom prst="rect">
                      <a:avLst/>
                    </a:prstGeom>
                  </pic:spPr>
                </pic:pic>
              </a:graphicData>
            </a:graphic>
            <wp14:sizeRelH relativeFrom="margin">
              <wp14:pctWidth>0</wp14:pctWidth>
            </wp14:sizeRelH>
            <wp14:sizeRelV relativeFrom="margin">
              <wp14:pctHeight>0</wp14:pctHeight>
            </wp14:sizeRelV>
          </wp:anchor>
        </w:drawing>
      </w:r>
      <w:r w:rsidRPr="00DB790F">
        <w:rPr>
          <w:rFonts w:ascii="Times New Roman" w:hAnsi="Times New Roman" w:cs="Times New Roman"/>
          <w:sz w:val="24"/>
          <w:szCs w:val="24"/>
        </w:rPr>
        <w:t xml:space="preserve">Now that </w:t>
      </w:r>
      <w:r>
        <w:rPr>
          <w:rFonts w:ascii="Times New Roman" w:hAnsi="Times New Roman" w:cs="Times New Roman"/>
          <w:sz w:val="24"/>
          <w:szCs w:val="24"/>
        </w:rPr>
        <w:t>you</w:t>
      </w:r>
      <w:r w:rsidRPr="00DB790F">
        <w:rPr>
          <w:rFonts w:ascii="Times New Roman" w:hAnsi="Times New Roman" w:cs="Times New Roman"/>
          <w:sz w:val="24"/>
          <w:szCs w:val="24"/>
        </w:rPr>
        <w:t xml:space="preserve"> have a good idea about the NCL and the responsibility for product classification and suspicious trans</w:t>
      </w:r>
      <w:r>
        <w:rPr>
          <w:rFonts w:ascii="Times New Roman" w:hAnsi="Times New Roman" w:cs="Times New Roman"/>
          <w:sz w:val="24"/>
          <w:szCs w:val="24"/>
        </w:rPr>
        <w:t>actions, let u</w:t>
      </w:r>
      <w:r w:rsidRPr="00DB790F">
        <w:rPr>
          <w:rFonts w:ascii="Times New Roman" w:hAnsi="Times New Roman" w:cs="Times New Roman"/>
          <w:sz w:val="24"/>
          <w:szCs w:val="24"/>
        </w:rPr>
        <w:t xml:space="preserve">s focus on the items which are of proliferation concern but are not found on any of the multilateral export control regime (MECR) lists.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A large percentage of the goods and technology required for a project or facility of concern involving WMD or missile delivery systems are not found on the MECR lists. The question is how to curb items which do not appear on any list. This is where </w:t>
      </w:r>
      <w:r w:rsidRPr="00BD28D4">
        <w:rPr>
          <w:rFonts w:ascii="Times New Roman" w:hAnsi="Times New Roman" w:cs="Times New Roman"/>
          <w:b/>
          <w:sz w:val="24"/>
          <w:szCs w:val="24"/>
        </w:rPr>
        <w:t>“catch-all” controls</w:t>
      </w:r>
      <w:r w:rsidRPr="00DB790F">
        <w:rPr>
          <w:rFonts w:ascii="Times New Roman" w:hAnsi="Times New Roman" w:cs="Times New Roman"/>
          <w:sz w:val="24"/>
          <w:szCs w:val="24"/>
        </w:rPr>
        <w:t xml:space="preserve"> come into play.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Catch-all controls are </w:t>
      </w:r>
      <w:r w:rsidRPr="00BD28D4">
        <w:rPr>
          <w:rFonts w:ascii="Times New Roman" w:hAnsi="Times New Roman" w:cs="Times New Roman"/>
          <w:b/>
          <w:sz w:val="24"/>
          <w:szCs w:val="24"/>
        </w:rPr>
        <w:t>based on the end-use or end-user of the item</w:t>
      </w:r>
      <w:r w:rsidRPr="00DB790F">
        <w:rPr>
          <w:rFonts w:ascii="Times New Roman" w:hAnsi="Times New Roman" w:cs="Times New Roman"/>
          <w:sz w:val="24"/>
          <w:szCs w:val="24"/>
        </w:rPr>
        <w:t xml:space="preserve">. These controls create the means of imposing </w:t>
      </w:r>
      <w:r w:rsidRPr="00BD28D4">
        <w:rPr>
          <w:rFonts w:ascii="Times New Roman" w:hAnsi="Times New Roman" w:cs="Times New Roman"/>
          <w:b/>
          <w:sz w:val="24"/>
          <w:szCs w:val="24"/>
        </w:rPr>
        <w:t>license requirements on non-listed items</w:t>
      </w:r>
      <w:r w:rsidRPr="00DB790F">
        <w:rPr>
          <w:rFonts w:ascii="Times New Roman" w:hAnsi="Times New Roman" w:cs="Times New Roman"/>
          <w:sz w:val="24"/>
          <w:szCs w:val="24"/>
        </w:rPr>
        <w:t xml:space="preserve">, and are designed to help </w:t>
      </w:r>
      <w:r>
        <w:rPr>
          <w:rFonts w:ascii="Times New Roman" w:hAnsi="Times New Roman" w:cs="Times New Roman"/>
          <w:sz w:val="24"/>
          <w:szCs w:val="24"/>
        </w:rPr>
        <w:t>further prevent the</w:t>
      </w:r>
      <w:r w:rsidRPr="00DB790F">
        <w:rPr>
          <w:rFonts w:ascii="Times New Roman" w:hAnsi="Times New Roman" w:cs="Times New Roman"/>
          <w:sz w:val="24"/>
          <w:szCs w:val="24"/>
        </w:rPr>
        <w:t xml:space="preserve"> proliferation of WMD and their delivery systems.</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Catch-all controls are based on the concept that an export license should be required for any item, regardless of its level of sophistication, which is going to an entity involved in WMD-related activities. Even low-level items (such as test tubes) that are not on any control list might require a license if they are going to an entity or end-use of proliferation concern. </w:t>
      </w:r>
    </w:p>
    <w:p w:rsidR="00FB4BE5" w:rsidRDefault="00FB4BE5" w:rsidP="00FB4BE5">
      <w:pPr>
        <w:autoSpaceDE w:val="0"/>
        <w:autoSpaceDN w:val="0"/>
        <w:adjustRightInd w:val="0"/>
        <w:spacing w:after="0" w:line="240" w:lineRule="auto"/>
        <w:jc w:val="both"/>
        <w:rPr>
          <w:rFonts w:ascii="Times New Roman" w:hAnsi="Times New Roman" w:cs="Times New Roman"/>
        </w:rPr>
      </w:pPr>
    </w:p>
    <w:p w:rsidR="00FB4BE5" w:rsidRDefault="00FB4BE5" w:rsidP="00FB4BE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25AA31F3" wp14:editId="0D4B0D86">
            <wp:extent cx="5943600" cy="864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4.bmp"/>
                    <pic:cNvPicPr/>
                  </pic:nvPicPr>
                  <pic:blipFill>
                    <a:blip r:embed="rId19">
                      <a:extLst>
                        <a:ext uri="{28A0092B-C50C-407E-A947-70E740481C1C}">
                          <a14:useLocalDpi xmlns:a14="http://schemas.microsoft.com/office/drawing/2010/main" val="0"/>
                        </a:ext>
                      </a:extLst>
                    </a:blip>
                    <a:stretch>
                      <a:fillRect/>
                    </a:stretch>
                  </pic:blipFill>
                  <pic:spPr>
                    <a:xfrm>
                      <a:off x="0" y="0"/>
                      <a:ext cx="5943600" cy="864235"/>
                    </a:xfrm>
                    <a:prstGeom prst="rect">
                      <a:avLst/>
                    </a:prstGeom>
                  </pic:spPr>
                </pic:pic>
              </a:graphicData>
            </a:graphic>
          </wp:inline>
        </w:drawing>
      </w:r>
    </w:p>
    <w:p w:rsidR="00FB4BE5" w:rsidRDefault="00FB4BE5" w:rsidP="00FB4BE5">
      <w:pPr>
        <w:autoSpaceDE w:val="0"/>
        <w:autoSpaceDN w:val="0"/>
        <w:adjustRightInd w:val="0"/>
        <w:spacing w:after="0" w:line="240" w:lineRule="auto"/>
        <w:jc w:val="both"/>
        <w:rPr>
          <w:rFonts w:ascii="Times New Roman" w:hAnsi="Times New Roman" w:cs="Times New Roman"/>
        </w:rPr>
      </w:pPr>
    </w:p>
    <w:p w:rsidR="00FB4BE5" w:rsidRDefault="00FB4BE5" w:rsidP="00FB4BE5">
      <w:pPr>
        <w:autoSpaceDE w:val="0"/>
        <w:autoSpaceDN w:val="0"/>
        <w:adjustRightInd w:val="0"/>
        <w:spacing w:after="0" w:line="240" w:lineRule="auto"/>
        <w:jc w:val="both"/>
        <w:rPr>
          <w:rFonts w:ascii="Times New Roman" w:hAnsi="Times New Roman" w:cs="Times New Roman"/>
        </w:rPr>
        <w:sectPr w:rsidR="00FB4BE5" w:rsidSect="0031324E">
          <w:endnotePr>
            <w:numFmt w:val="decimal"/>
          </w:endnotePr>
          <w:type w:val="continuous"/>
          <w:pgSz w:w="12240" w:h="15840"/>
          <w:pgMar w:top="1440" w:right="1440" w:bottom="1440" w:left="1440" w:header="720" w:footer="720" w:gutter="0"/>
          <w:cols w:space="720"/>
          <w:docGrid w:linePitch="360"/>
        </w:sectPr>
      </w:pPr>
    </w:p>
    <w:p w:rsidR="00FB4BE5" w:rsidRPr="00690E63" w:rsidRDefault="00FB4BE5" w:rsidP="00FB4BE5">
      <w:pPr>
        <w:autoSpaceDE w:val="0"/>
        <w:autoSpaceDN w:val="0"/>
        <w:adjustRightInd w:val="0"/>
        <w:spacing w:after="0" w:line="240" w:lineRule="auto"/>
        <w:jc w:val="both"/>
        <w:rPr>
          <w:rFonts w:ascii="Times New Roman" w:hAnsi="Times New Roman" w:cs="Times New Roman"/>
          <w:b/>
          <w:sz w:val="21"/>
          <w:szCs w:val="21"/>
        </w:rPr>
      </w:pPr>
      <w:r w:rsidRPr="00690E63">
        <w:rPr>
          <w:rFonts w:ascii="Times New Roman" w:hAnsi="Times New Roman" w:cs="Times New Roman"/>
          <w:b/>
          <w:sz w:val="21"/>
          <w:szCs w:val="21"/>
        </w:rPr>
        <w:lastRenderedPageBreak/>
        <w:t xml:space="preserve">   Item to be exported</w:t>
      </w:r>
    </w:p>
    <w:p w:rsidR="00FB4BE5" w:rsidRPr="00715F4A" w:rsidRDefault="00FB4BE5" w:rsidP="00FB4BE5">
      <w:pPr>
        <w:autoSpaceDE w:val="0"/>
        <w:autoSpaceDN w:val="0"/>
        <w:adjustRightInd w:val="0"/>
        <w:spacing w:after="0" w:line="240" w:lineRule="auto"/>
        <w:jc w:val="both"/>
        <w:rPr>
          <w:rFonts w:ascii="Times New Roman" w:hAnsi="Times New Roman" w:cs="Times New Roman"/>
          <w:sz w:val="20"/>
          <w:szCs w:val="20"/>
        </w:rPr>
      </w:pPr>
    </w:p>
    <w:p w:rsidR="00FB4BE5" w:rsidRPr="00690E63" w:rsidRDefault="00FB4BE5" w:rsidP="00FB4BE5">
      <w:pPr>
        <w:autoSpaceDE w:val="0"/>
        <w:autoSpaceDN w:val="0"/>
        <w:adjustRightInd w:val="0"/>
        <w:spacing w:after="0" w:line="240" w:lineRule="auto"/>
        <w:jc w:val="both"/>
        <w:rPr>
          <w:rFonts w:ascii="Times New Roman" w:hAnsi="Times New Roman" w:cs="Times New Roman"/>
          <w:b/>
          <w:sz w:val="21"/>
          <w:szCs w:val="21"/>
        </w:rPr>
      </w:pPr>
      <w:r w:rsidRPr="00715F4A">
        <w:rPr>
          <w:rFonts w:ascii="Times New Roman" w:hAnsi="Times New Roman" w:cs="Times New Roman"/>
          <w:b/>
          <w:sz w:val="20"/>
          <w:szCs w:val="20"/>
        </w:rPr>
        <w:lastRenderedPageBreak/>
        <w:tab/>
      </w:r>
      <w:r>
        <w:rPr>
          <w:rFonts w:ascii="Times New Roman" w:hAnsi="Times New Roman" w:cs="Times New Roman"/>
          <w:b/>
          <w:sz w:val="20"/>
          <w:szCs w:val="20"/>
        </w:rPr>
        <w:t xml:space="preserve"> </w:t>
      </w:r>
      <w:r w:rsidRPr="00690E63">
        <w:rPr>
          <w:rFonts w:ascii="Times New Roman" w:hAnsi="Times New Roman" w:cs="Times New Roman"/>
          <w:b/>
          <w:sz w:val="21"/>
          <w:szCs w:val="21"/>
        </w:rPr>
        <w:t xml:space="preserve"> Filter </w:t>
      </w:r>
    </w:p>
    <w:p w:rsidR="00FB4BE5" w:rsidRPr="00690E63" w:rsidRDefault="00FB4BE5" w:rsidP="00FB4BE5">
      <w:pPr>
        <w:autoSpaceDE w:val="0"/>
        <w:autoSpaceDN w:val="0"/>
        <w:adjustRightInd w:val="0"/>
        <w:spacing w:after="0" w:line="240" w:lineRule="auto"/>
        <w:jc w:val="both"/>
        <w:rPr>
          <w:rFonts w:ascii="Times New Roman" w:hAnsi="Times New Roman" w:cs="Times New Roman"/>
          <w:b/>
          <w:sz w:val="21"/>
          <w:szCs w:val="21"/>
        </w:rPr>
      </w:pPr>
      <w:r w:rsidRPr="00690E63">
        <w:rPr>
          <w:rFonts w:ascii="Times New Roman" w:hAnsi="Times New Roman" w:cs="Times New Roman"/>
          <w:b/>
          <w:sz w:val="21"/>
          <w:szCs w:val="21"/>
        </w:rPr>
        <w:lastRenderedPageBreak/>
        <w:t xml:space="preserve">Chemical plant for making CWs (restricted end-use) </w:t>
      </w:r>
    </w:p>
    <w:p w:rsidR="00FB4BE5" w:rsidRDefault="00FB4BE5" w:rsidP="00FB4BE5">
      <w:pPr>
        <w:autoSpaceDE w:val="0"/>
        <w:autoSpaceDN w:val="0"/>
        <w:adjustRightInd w:val="0"/>
        <w:spacing w:after="0" w:line="240" w:lineRule="auto"/>
        <w:jc w:val="both"/>
        <w:rPr>
          <w:rFonts w:ascii="Times New Roman" w:hAnsi="Times New Roman" w:cs="Times New Roman"/>
        </w:rPr>
        <w:sectPr w:rsidR="00FB4BE5" w:rsidSect="00715F4A">
          <w:endnotePr>
            <w:numFmt w:val="decimal"/>
          </w:endnotePr>
          <w:type w:val="continuous"/>
          <w:pgSz w:w="12240" w:h="15840"/>
          <w:pgMar w:top="1440" w:right="1440" w:bottom="1440" w:left="1440" w:header="720" w:footer="720" w:gutter="0"/>
          <w:cols w:num="3" w:space="1035"/>
          <w:docGrid w:linePitch="360"/>
        </w:sectPr>
      </w:pPr>
    </w:p>
    <w:p w:rsidR="00FB4BE5" w:rsidRDefault="00FB4BE5" w:rsidP="00FB4BE5">
      <w:pPr>
        <w:autoSpaceDE w:val="0"/>
        <w:autoSpaceDN w:val="0"/>
        <w:adjustRightInd w:val="0"/>
        <w:spacing w:before="360" w:after="0" w:line="240" w:lineRule="auto"/>
        <w:jc w:val="both"/>
        <w:rPr>
          <w:rFonts w:ascii="Times New Roman" w:hAnsi="Times New Roman" w:cs="Times New Roman"/>
        </w:rPr>
      </w:pPr>
      <w:r w:rsidRPr="0043251E">
        <w:rPr>
          <w:rFonts w:ascii="Times New Roman" w:hAnsi="Times New Roman" w:cs="Times New Roman"/>
          <w:sz w:val="24"/>
          <w:szCs w:val="24"/>
          <w:u w:val="single"/>
        </w:rPr>
        <w:lastRenderedPageBreak/>
        <w:t>Note</w:t>
      </w:r>
      <w:r w:rsidRPr="0043251E">
        <w:rPr>
          <w:rFonts w:ascii="Times New Roman" w:hAnsi="Times New Roman" w:cs="Times New Roman"/>
          <w:sz w:val="24"/>
          <w:szCs w:val="24"/>
        </w:rPr>
        <w:t>:</w:t>
      </w:r>
      <w:r w:rsidRPr="00DB790F">
        <w:rPr>
          <w:rFonts w:ascii="Times New Roman" w:hAnsi="Times New Roman" w:cs="Times New Roman"/>
          <w:sz w:val="24"/>
          <w:szCs w:val="24"/>
        </w:rPr>
        <w:t xml:space="preserve"> </w:t>
      </w:r>
      <w:r w:rsidRPr="00DB790F">
        <w:rPr>
          <w:rFonts w:ascii="Times New Roman" w:hAnsi="Times New Roman" w:cs="Times New Roman"/>
          <w:i/>
          <w:sz w:val="24"/>
          <w:szCs w:val="24"/>
        </w:rPr>
        <w:t>Unlike controls imposed pursuant to the NCL, which are based on technical parameters, catch-all controls are based on the potential end-use or end-user of the item</w:t>
      </w:r>
      <w:r>
        <w:rPr>
          <w:rFonts w:ascii="Times New Roman" w:hAnsi="Times New Roman" w:cs="Times New Roman"/>
          <w:i/>
          <w:sz w:val="24"/>
          <w:szCs w:val="24"/>
        </w:rPr>
        <w:t xml:space="preserve"> and the potential </w:t>
      </w:r>
      <w:r w:rsidRPr="00DB790F">
        <w:rPr>
          <w:rFonts w:ascii="Times New Roman" w:hAnsi="Times New Roman" w:cs="Times New Roman"/>
          <w:i/>
          <w:sz w:val="24"/>
          <w:szCs w:val="24"/>
        </w:rPr>
        <w:t xml:space="preserve"> </w:t>
      </w:r>
      <w:r>
        <w:rPr>
          <w:rFonts w:ascii="Times New Roman" w:hAnsi="Times New Roman" w:cs="Times New Roman"/>
          <w:i/>
          <w:sz w:val="24"/>
          <w:szCs w:val="24"/>
        </w:rPr>
        <w:t>for the item to</w:t>
      </w:r>
      <w:r w:rsidRPr="00DB790F">
        <w:rPr>
          <w:rFonts w:ascii="Times New Roman" w:hAnsi="Times New Roman" w:cs="Times New Roman"/>
          <w:i/>
          <w:sz w:val="24"/>
          <w:szCs w:val="24"/>
        </w:rPr>
        <w:t xml:space="preserve"> </w:t>
      </w:r>
      <w:r>
        <w:rPr>
          <w:rFonts w:ascii="Times New Roman" w:hAnsi="Times New Roman" w:cs="Times New Roman"/>
          <w:i/>
          <w:sz w:val="24"/>
          <w:szCs w:val="24"/>
        </w:rPr>
        <w:t>contribute to</w:t>
      </w:r>
      <w:r w:rsidRPr="00DB790F">
        <w:rPr>
          <w:rFonts w:ascii="Times New Roman" w:hAnsi="Times New Roman" w:cs="Times New Roman"/>
          <w:i/>
          <w:sz w:val="24"/>
          <w:szCs w:val="24"/>
        </w:rPr>
        <w:t xml:space="preserve"> </w:t>
      </w:r>
      <w:r>
        <w:rPr>
          <w:rFonts w:ascii="Times New Roman" w:hAnsi="Times New Roman" w:cs="Times New Roman"/>
          <w:i/>
          <w:sz w:val="24"/>
          <w:szCs w:val="24"/>
        </w:rPr>
        <w:t>a WMD or military program</w:t>
      </w:r>
      <w:r w:rsidRPr="00DB790F">
        <w:rPr>
          <w:rFonts w:ascii="Times New Roman" w:hAnsi="Times New Roman" w:cs="Times New Roman"/>
          <w:i/>
          <w:sz w:val="24"/>
          <w:szCs w:val="24"/>
        </w:rPr>
        <w:t xml:space="preserve"> or another unauthorized end-use</w:t>
      </w:r>
      <w:r>
        <w:rPr>
          <w:rFonts w:ascii="Times New Roman" w:hAnsi="Times New Roman" w:cs="Times New Roman"/>
          <w:i/>
          <w:sz w:val="24"/>
          <w:szCs w:val="24"/>
        </w:rPr>
        <w:t xml:space="preserve">. </w:t>
      </w:r>
    </w:p>
    <w:p w:rsidR="00FB4BE5"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Catch-all controls supplement the lists of items of the multilateral export control regimes </w:t>
      </w:r>
      <w:r>
        <w:rPr>
          <w:rFonts w:ascii="Times New Roman" w:hAnsi="Times New Roman" w:cs="Times New Roman"/>
          <w:sz w:val="24"/>
          <w:szCs w:val="24"/>
        </w:rPr>
        <w:t>-</w:t>
      </w:r>
      <w:r w:rsidRPr="00DB790F">
        <w:rPr>
          <w:rFonts w:ascii="Times New Roman" w:hAnsi="Times New Roman" w:cs="Times New Roman"/>
          <w:sz w:val="24"/>
          <w:szCs w:val="24"/>
        </w:rPr>
        <w:t xml:space="preserve"> the Nuclear Suppliers Group (NSG), the Missile Technology Control Regime (MTCR), the Australia Group (AG), and the Wassenaar Arrangement (WA). To be most effective, catch-all controls need to be applied multilaterally, consistent with each country's legal system.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The </w:t>
      </w:r>
      <w:r w:rsidRPr="00EC34F5">
        <w:rPr>
          <w:rFonts w:ascii="Times New Roman" w:hAnsi="Times New Roman" w:cs="Times New Roman"/>
          <w:b/>
          <w:sz w:val="24"/>
          <w:szCs w:val="24"/>
        </w:rPr>
        <w:t>European Union has established dual-use transit controls</w:t>
      </w:r>
      <w:r w:rsidRPr="00DB790F">
        <w:rPr>
          <w:rFonts w:ascii="Times New Roman" w:hAnsi="Times New Roman" w:cs="Times New Roman"/>
          <w:sz w:val="24"/>
          <w:szCs w:val="24"/>
        </w:rPr>
        <w:t xml:space="preserve"> based on catch-all provisions. COUNCIL REGULATION (EC) No 428/2009 of 5 May 2009</w:t>
      </w:r>
      <w:r w:rsidRPr="00DB790F">
        <w:rPr>
          <w:rFonts w:ascii="Times New Roman" w:hAnsi="Times New Roman" w:cs="Times New Roman"/>
          <w:i/>
          <w:sz w:val="24"/>
          <w:szCs w:val="24"/>
        </w:rPr>
        <w:t xml:space="preserve"> </w:t>
      </w:r>
      <w:r w:rsidRPr="00DB790F">
        <w:rPr>
          <w:rFonts w:ascii="Times New Roman" w:hAnsi="Times New Roman" w:cs="Times New Roman"/>
          <w:sz w:val="24"/>
          <w:szCs w:val="24"/>
        </w:rPr>
        <w:t xml:space="preserve">setting up a Community regime for the control of exports, transfer, brokering and transit of dual-use items stipulates the following: "The transit of listed dual-use items may be prohibited by the competent authorities of the Member State where the transit occurs if the items are or may be intended, in their entirety or </w:t>
      </w:r>
      <w:r w:rsidRPr="00DB790F">
        <w:rPr>
          <w:rFonts w:ascii="Times New Roman" w:hAnsi="Times New Roman" w:cs="Times New Roman"/>
          <w:sz w:val="24"/>
          <w:szCs w:val="24"/>
        </w:rPr>
        <w:lastRenderedPageBreak/>
        <w:t xml:space="preserve">in part, for use in connection with the development, production, handling, operation, maintenance, storage, detection, identification or dissemination of chemical, biological or nuclear weapons or other nuclear explosive devices or the development, production, maintenance or storage of missiles capable of delivering such weapons." </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In the </w:t>
      </w:r>
      <w:r w:rsidRPr="00DB790F">
        <w:rPr>
          <w:rFonts w:ascii="Times New Roman" w:hAnsi="Times New Roman" w:cs="Times New Roman"/>
          <w:b/>
          <w:sz w:val="24"/>
          <w:szCs w:val="24"/>
        </w:rPr>
        <w:t>U.S.</w:t>
      </w:r>
      <w:r w:rsidRPr="00DB790F">
        <w:rPr>
          <w:rFonts w:ascii="Times New Roman" w:hAnsi="Times New Roman" w:cs="Times New Roman"/>
          <w:sz w:val="24"/>
          <w:szCs w:val="24"/>
        </w:rPr>
        <w:t xml:space="preserve"> export control regulations, an 'Entity List' is published for exporters. Any goods destined for a party who is listed on the Entity List will require an export license under the end-use/end-user control requirement. Additionally, an end-use/end-user licensing requirement exists for end-users not </w:t>
      </w:r>
      <w:r>
        <w:rPr>
          <w:rFonts w:ascii="Times New Roman" w:hAnsi="Times New Roman" w:cs="Times New Roman"/>
          <w:sz w:val="24"/>
          <w:szCs w:val="24"/>
        </w:rPr>
        <w:t xml:space="preserve">found </w:t>
      </w:r>
      <w:r w:rsidRPr="00DB790F">
        <w:rPr>
          <w:rFonts w:ascii="Times New Roman" w:hAnsi="Times New Roman" w:cs="Times New Roman"/>
          <w:sz w:val="24"/>
          <w:szCs w:val="24"/>
        </w:rPr>
        <w:t>on the Entity List, but who are known, or suspected, to be involved in WMD-related activities.</w:t>
      </w:r>
    </w:p>
    <w:p w:rsidR="00FB4BE5"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8B05B5">
        <w:rPr>
          <w:rFonts w:ascii="Times New Roman" w:hAnsi="Times New Roman" w:cs="Times New Roman"/>
          <w:sz w:val="24"/>
          <w:szCs w:val="24"/>
          <w:u w:val="single"/>
        </w:rPr>
        <w:t>Note</w:t>
      </w:r>
      <w:r>
        <w:rPr>
          <w:rFonts w:ascii="Times New Roman" w:hAnsi="Times New Roman" w:cs="Times New Roman"/>
          <w:sz w:val="24"/>
          <w:szCs w:val="24"/>
        </w:rPr>
        <w:t xml:space="preserve">: </w:t>
      </w:r>
      <w:r w:rsidRPr="00951F86">
        <w:rPr>
          <w:rFonts w:ascii="Times New Roman" w:hAnsi="Times New Roman" w:cs="Times New Roman"/>
          <w:i/>
          <w:sz w:val="24"/>
          <w:szCs w:val="24"/>
        </w:rPr>
        <w:t xml:space="preserve">The </w:t>
      </w:r>
      <w:hyperlink r:id="rId20" w:history="1">
        <w:r w:rsidRPr="00951F86">
          <w:rPr>
            <w:rStyle w:val="Hyperlink"/>
            <w:rFonts w:ascii="Times New Roman" w:hAnsi="Times New Roman" w:cs="Times New Roman"/>
            <w:b/>
            <w:i/>
            <w:sz w:val="24"/>
            <w:szCs w:val="24"/>
          </w:rPr>
          <w:t>Restricted Party Screening Tool (RPST)</w:t>
        </w:r>
      </w:hyperlink>
      <w:r w:rsidRPr="00951F86">
        <w:rPr>
          <w:rFonts w:ascii="Times New Roman" w:hAnsi="Times New Roman" w:cs="Times New Roman"/>
          <w:b/>
          <w:i/>
          <w:sz w:val="24"/>
          <w:szCs w:val="24"/>
        </w:rPr>
        <w:t xml:space="preserve"> </w:t>
      </w:r>
      <w:r w:rsidRPr="008B05B5">
        <w:rPr>
          <w:rFonts w:ascii="Times New Roman" w:hAnsi="Times New Roman" w:cs="Times New Roman"/>
          <w:i/>
          <w:sz w:val="24"/>
          <w:szCs w:val="24"/>
        </w:rPr>
        <w:t>that is part of this guide will enable your enterprise to screen all parties to a transaction against the EU Consolidated List, U.S. Consolidated List, and the Japan Foreign End-User List. The RPST can also be modified to screen against any unique, unilateral/national list that may be maintained in your country.</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highlight w:val="yellow"/>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DB790F">
        <w:rPr>
          <w:rFonts w:ascii="Times New Roman" w:hAnsi="Times New Roman" w:cs="Times New Roman"/>
          <w:b/>
          <w:sz w:val="24"/>
          <w:szCs w:val="24"/>
        </w:rPr>
        <w:t>[</w:t>
      </w:r>
      <w:r w:rsidRPr="00951F86">
        <w:rPr>
          <w:rFonts w:ascii="Times New Roman" w:hAnsi="Times New Roman" w:cs="Times New Roman"/>
          <w:b/>
          <w:color w:val="0070C0"/>
          <w:sz w:val="24"/>
          <w:szCs w:val="24"/>
        </w:rPr>
        <w:t xml:space="preserve">Insert name of your country] </w:t>
      </w:r>
    </w:p>
    <w:p w:rsidR="00FB4BE5" w:rsidRPr="00DB790F" w:rsidRDefault="00FB4BE5" w:rsidP="00FB4BE5">
      <w:pPr>
        <w:autoSpaceDE w:val="0"/>
        <w:autoSpaceDN w:val="0"/>
        <w:adjustRightInd w:val="0"/>
        <w:spacing w:after="0" w:line="240" w:lineRule="auto"/>
        <w:jc w:val="both"/>
        <w:rPr>
          <w:rFonts w:ascii="Times New Roman" w:hAnsi="Times New Roman" w:cs="Times New Roman"/>
          <w:b/>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b/>
          <w:sz w:val="24"/>
          <w:szCs w:val="24"/>
        </w:rPr>
        <w:t>[</w:t>
      </w:r>
      <w:r w:rsidRPr="00951F86">
        <w:rPr>
          <w:rFonts w:ascii="Times New Roman" w:hAnsi="Times New Roman" w:cs="Times New Roman"/>
          <w:color w:val="0070C0"/>
          <w:sz w:val="24"/>
          <w:szCs w:val="24"/>
        </w:rPr>
        <w:t>Insert name of your country</w:t>
      </w:r>
      <w:r w:rsidRPr="00DB790F">
        <w:rPr>
          <w:rFonts w:ascii="Times New Roman" w:hAnsi="Times New Roman" w:cs="Times New Roman"/>
          <w:b/>
          <w:sz w:val="24"/>
          <w:szCs w:val="24"/>
        </w:rPr>
        <w:t xml:space="preserve">] </w:t>
      </w:r>
      <w:r w:rsidRPr="00DB790F">
        <w:rPr>
          <w:rFonts w:ascii="Times New Roman" w:hAnsi="Times New Roman" w:cs="Times New Roman"/>
          <w:sz w:val="24"/>
          <w:szCs w:val="24"/>
        </w:rPr>
        <w:t>has established dual-use transit controls [</w:t>
      </w:r>
      <w:r w:rsidRPr="00DB790F">
        <w:rPr>
          <w:rFonts w:ascii="Times New Roman" w:hAnsi="Times New Roman" w:cs="Times New Roman"/>
          <w:color w:val="0070C0"/>
          <w:sz w:val="24"/>
          <w:szCs w:val="24"/>
        </w:rPr>
        <w:t>based on catch-all provisions</w:t>
      </w:r>
      <w:r>
        <w:rPr>
          <w:rFonts w:ascii="Times New Roman" w:hAnsi="Times New Roman" w:cs="Times New Roman"/>
          <w:color w:val="0070C0"/>
          <w:sz w:val="24"/>
          <w:szCs w:val="24"/>
        </w:rPr>
        <w:t>?</w:t>
      </w:r>
      <w:r w:rsidRPr="00DB790F">
        <w:rPr>
          <w:rFonts w:ascii="Times New Roman" w:hAnsi="Times New Roman" w:cs="Times New Roman"/>
          <w:sz w:val="24"/>
          <w:szCs w:val="24"/>
        </w:rPr>
        <w:t>] set forth by [</w:t>
      </w:r>
      <w:r w:rsidRPr="00DB790F">
        <w:rPr>
          <w:rFonts w:ascii="Times New Roman" w:hAnsi="Times New Roman" w:cs="Times New Roman"/>
          <w:color w:val="0070C0"/>
          <w:sz w:val="24"/>
          <w:szCs w:val="24"/>
        </w:rPr>
        <w:t>insert name of relevant STC legislation and relevant article/section</w:t>
      </w:r>
      <w:r w:rsidRPr="00DB790F">
        <w:rPr>
          <w:rFonts w:ascii="Times New Roman" w:hAnsi="Times New Roman" w:cs="Times New Roman"/>
          <w:sz w:val="24"/>
          <w:szCs w:val="24"/>
        </w:rPr>
        <w:t>]:</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“Transit” is defined as: [</w:t>
      </w:r>
      <w:r w:rsidRPr="00951F86">
        <w:rPr>
          <w:rFonts w:ascii="Times New Roman" w:hAnsi="Times New Roman" w:cs="Times New Roman"/>
          <w:color w:val="0070C0"/>
          <w:sz w:val="24"/>
          <w:szCs w:val="24"/>
        </w:rPr>
        <w:t>insert definition of transit as it relates to dual-use items</w:t>
      </w:r>
      <w:r w:rsidRPr="00DB790F">
        <w:rPr>
          <w:rFonts w:ascii="Times New Roman" w:hAnsi="Times New Roman" w:cs="Times New Roman"/>
          <w:sz w:val="24"/>
          <w:szCs w:val="24"/>
        </w:rPr>
        <w:t>]</w:t>
      </w:r>
    </w:p>
    <w:p w:rsidR="00FB4BE5" w:rsidRPr="00DB790F"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Default="00FB4BE5" w:rsidP="00FB4BE5">
      <w:pPr>
        <w:rPr>
          <w:rFonts w:ascii="Times New Roman" w:hAnsi="Times New Roman" w:cs="Times New Roman"/>
        </w:rPr>
      </w:pPr>
      <w:r>
        <w:rPr>
          <w:rFonts w:ascii="Times New Roman" w:hAnsi="Times New Roman" w:cs="Times New Roman"/>
        </w:rPr>
        <w:br w:type="page"/>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lastRenderedPageBreak/>
        <w:t>License Requirements: Red Flags</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Recall that many items of proliferation concern are not found on any multilaterally-defined lists or national control lists. Also, proliferators often </w:t>
      </w:r>
      <w:r w:rsidRPr="00B402E7">
        <w:rPr>
          <w:rFonts w:ascii="Times New Roman" w:hAnsi="Times New Roman" w:cs="Times New Roman"/>
          <w:b/>
          <w:sz w:val="24"/>
          <w:szCs w:val="24"/>
        </w:rPr>
        <w:t>elude detection by using a benign entity name or</w:t>
      </w:r>
      <w:r w:rsidRPr="00B402E7">
        <w:rPr>
          <w:rFonts w:ascii="Times New Roman" w:hAnsi="Times New Roman" w:cs="Times New Roman"/>
          <w:sz w:val="24"/>
          <w:szCs w:val="24"/>
        </w:rPr>
        <w:t xml:space="preserve"> </w:t>
      </w:r>
      <w:r w:rsidRPr="00B402E7">
        <w:rPr>
          <w:rFonts w:ascii="Times New Roman" w:hAnsi="Times New Roman" w:cs="Times New Roman"/>
          <w:b/>
          <w:sz w:val="24"/>
          <w:szCs w:val="24"/>
        </w:rPr>
        <w:t>understating the technical capabilities of the item</w:t>
      </w:r>
      <w:r w:rsidRPr="00B402E7">
        <w:rPr>
          <w:rFonts w:ascii="Times New Roman" w:hAnsi="Times New Roman" w:cs="Times New Roman"/>
          <w:sz w:val="24"/>
          <w:szCs w:val="24"/>
        </w:rPr>
        <w:t xml:space="preserve">. Shippers should be alert to any indicators that the exporter intends to export goods to a suspicious end-user or for a suspicious end-use. Such indicators are referred to as 'red flags'. </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A red flag is </w:t>
      </w:r>
      <w:r w:rsidRPr="00B402E7">
        <w:rPr>
          <w:rFonts w:ascii="Times New Roman" w:hAnsi="Times New Roman" w:cs="Times New Roman"/>
          <w:b/>
          <w:sz w:val="24"/>
          <w:szCs w:val="24"/>
        </w:rPr>
        <w:t xml:space="preserve">a warning signal or indicator that there </w:t>
      </w:r>
      <w:proofErr w:type="spellStart"/>
      <w:r w:rsidRPr="00B402E7">
        <w:rPr>
          <w:rFonts w:ascii="Times New Roman" w:hAnsi="Times New Roman" w:cs="Times New Roman"/>
          <w:b/>
          <w:sz w:val="24"/>
          <w:szCs w:val="24"/>
        </w:rPr>
        <w:t>maybe</w:t>
      </w:r>
      <w:proofErr w:type="spellEnd"/>
      <w:r w:rsidRPr="00B402E7">
        <w:rPr>
          <w:rFonts w:ascii="Times New Roman" w:hAnsi="Times New Roman" w:cs="Times New Roman"/>
          <w:b/>
          <w:sz w:val="24"/>
          <w:szCs w:val="24"/>
        </w:rPr>
        <w:t xml:space="preserve"> an illegal activity in process, or that items may be </w:t>
      </w:r>
      <w:proofErr w:type="spellStart"/>
      <w:r w:rsidRPr="00B402E7">
        <w:rPr>
          <w:rFonts w:ascii="Times New Roman" w:hAnsi="Times New Roman" w:cs="Times New Roman"/>
          <w:b/>
          <w:sz w:val="24"/>
          <w:szCs w:val="24"/>
        </w:rPr>
        <w:t>en</w:t>
      </w:r>
      <w:proofErr w:type="spellEnd"/>
      <w:r w:rsidRPr="00B402E7">
        <w:rPr>
          <w:rFonts w:ascii="Times New Roman" w:hAnsi="Times New Roman" w:cs="Times New Roman"/>
          <w:b/>
          <w:sz w:val="24"/>
          <w:szCs w:val="24"/>
        </w:rPr>
        <w:t xml:space="preserve"> route to a suspicious end-user</w:t>
      </w:r>
      <w:r w:rsidRPr="00B402E7">
        <w:rPr>
          <w:rFonts w:ascii="Times New Roman" w:hAnsi="Times New Roman" w:cs="Times New Roman"/>
          <w:sz w:val="24"/>
          <w:szCs w:val="24"/>
        </w:rPr>
        <w:t xml:space="preserve">. In export/transit control terms, this translates to looking for things that do not seem logical or are falsely described. </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 xml:space="preserve">Some examples of red flags include: </w:t>
      </w:r>
    </w:p>
    <w:p w:rsidR="00FB4BE5" w:rsidRPr="00B402E7"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noProof/>
          <w:sz w:val="24"/>
          <w:szCs w:val="24"/>
        </w:rPr>
        <w:drawing>
          <wp:anchor distT="0" distB="0" distL="114300" distR="114300" simplePos="0" relativeHeight="251661312" behindDoc="0" locked="0" layoutInCell="1" allowOverlap="1" wp14:anchorId="135283C8" wp14:editId="5F9648AD">
            <wp:simplePos x="0" y="0"/>
            <wp:positionH relativeFrom="margin">
              <wp:posOffset>4570730</wp:posOffset>
            </wp:positionH>
            <wp:positionV relativeFrom="margin">
              <wp:posOffset>2124075</wp:posOffset>
            </wp:positionV>
            <wp:extent cx="1276985" cy="1535430"/>
            <wp:effectExtent l="0" t="0" r="0" b="7620"/>
            <wp:wrapSquare wrapText="bothSides"/>
            <wp:docPr id="21" name="Picture 21" descr="Re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d Fla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98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2E7">
        <w:rPr>
          <w:rFonts w:ascii="Times New Roman" w:hAnsi="Times New Roman" w:cs="Times New Roman"/>
          <w:sz w:val="24"/>
          <w:szCs w:val="24"/>
        </w:rPr>
        <w:t xml:space="preserve">A shipper in the chain is not a known or established enterprise </w:t>
      </w:r>
    </w:p>
    <w:p w:rsidR="00FB4BE5" w:rsidRPr="00B402E7"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Products are not compatible with the customer's business </w:t>
      </w:r>
    </w:p>
    <w:p w:rsidR="00FB4BE5" w:rsidRPr="00B402E7"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Listed value is in excess of the fair market value </w:t>
      </w:r>
    </w:p>
    <w:p w:rsidR="00FB4BE5" w:rsidRPr="00B402E7"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Final consignee is a freight forwarder </w:t>
      </w:r>
    </w:p>
    <w:p w:rsidR="00FB4BE5" w:rsidRPr="00B402E7"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Delivery dates are vague or ambiguous</w:t>
      </w:r>
    </w:p>
    <w:p w:rsidR="00FB4BE5" w:rsidRPr="00B402E7"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The shipping route is circuitous and illogical</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t>License Requirements: Know Your Customer</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Take into account any abnormal circumstances in a transaction that may indicate that the export may be destined for an inappropriate/restricted end-use, end-user, or destination. </w:t>
      </w:r>
    </w:p>
    <w:p w:rsidR="00FB4BE5" w:rsidRDefault="00FB4BE5" w:rsidP="00FB4BE5">
      <w:pPr>
        <w:autoSpaceDE w:val="0"/>
        <w:autoSpaceDN w:val="0"/>
        <w:adjustRightInd w:val="0"/>
        <w:spacing w:after="0" w:line="240" w:lineRule="auto"/>
        <w:jc w:val="both"/>
        <w:rPr>
          <w:rFonts w:ascii="Times New Roman" w:hAnsi="Times New Roman" w:cs="Times New Roman"/>
        </w:rPr>
      </w:pPr>
    </w:p>
    <w:p w:rsidR="00FB4BE5" w:rsidRPr="00B402E7" w:rsidRDefault="00FB4BE5" w:rsidP="00FB4BE5">
      <w:pPr>
        <w:autoSpaceDE w:val="0"/>
        <w:autoSpaceDN w:val="0"/>
        <w:adjustRightInd w:val="0"/>
        <w:spacing w:after="0" w:line="240" w:lineRule="auto"/>
        <w:ind w:left="720"/>
        <w:jc w:val="both"/>
        <w:rPr>
          <w:rFonts w:ascii="Times New Roman" w:hAnsi="Times New Roman" w:cs="Times New Roman"/>
          <w:sz w:val="24"/>
          <w:szCs w:val="24"/>
        </w:rPr>
      </w:pPr>
      <w:r w:rsidRPr="00B402E7">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236EF775" wp14:editId="7317F87A">
                <wp:simplePos x="0" y="0"/>
                <wp:positionH relativeFrom="column">
                  <wp:posOffset>-7951</wp:posOffset>
                </wp:positionH>
                <wp:positionV relativeFrom="paragraph">
                  <wp:posOffset>13225</wp:posOffset>
                </wp:positionV>
                <wp:extent cx="381662" cy="28575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2" cy="285750"/>
                        </a:xfrm>
                        <a:prstGeom prst="rect">
                          <a:avLst/>
                        </a:prstGeom>
                        <a:solidFill>
                          <a:srgbClr val="00B050"/>
                        </a:solidFill>
                        <a:ln w="9525">
                          <a:solidFill>
                            <a:srgbClr val="000000"/>
                          </a:solidFill>
                          <a:miter lim="800000"/>
                          <a:headEnd/>
                          <a:tailEnd/>
                        </a:ln>
                      </wps:spPr>
                      <wps:txbx>
                        <w:txbxContent>
                          <w:p w:rsidR="00FB4BE5" w:rsidRPr="00D44EB9" w:rsidRDefault="00FB4BE5" w:rsidP="00FB4BE5">
                            <w:pPr>
                              <w:rPr>
                                <w:b/>
                                <w:color w:val="FFFFFF" w:themeColor="background1"/>
                                <w:sz w:val="18"/>
                                <w:szCs w:val="18"/>
                              </w:rPr>
                            </w:pPr>
                            <w:r w:rsidRPr="00D44EB9">
                              <w:rPr>
                                <w:b/>
                                <w:color w:val="FFFFFF" w:themeColor="background1"/>
                                <w:sz w:val="18"/>
                                <w:szCs w:val="18"/>
                              </w:rPr>
                              <w:t>YES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1.05pt;width:30.0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" fillcolor="#00b050">
                <v:textbox>
                  <w:txbxContent>
                    <w:p w:rsidR="00FB4BE5" w:rsidRPr="00D44EB9" w:rsidRDefault="00FB4BE5" w:rsidP="00FB4BE5">
                      <w:pPr>
                        <w:rPr>
                          <w:b/>
                          <w:color w:val="FFFFFF" w:themeColor="background1"/>
                          <w:sz w:val="18"/>
                          <w:szCs w:val="18"/>
                        </w:rPr>
                      </w:pPr>
                      <w:r w:rsidRPr="00D44EB9">
                        <w:rPr>
                          <w:b/>
                          <w:color w:val="FFFFFF" w:themeColor="background1"/>
                          <w:sz w:val="18"/>
                          <w:szCs w:val="18"/>
                        </w:rPr>
                        <w:t>YES</w:t>
                      </w:r>
                    </w:p>
                  </w:txbxContent>
                </v:textbox>
              </v:shape>
            </w:pict>
          </mc:Fallback>
        </mc:AlternateContent>
      </w:r>
      <w:r w:rsidRPr="00B402E7">
        <w:rPr>
          <w:rFonts w:ascii="Times New Roman" w:hAnsi="Times New Roman" w:cs="Times New Roman"/>
          <w:b/>
          <w:sz w:val="24"/>
          <w:szCs w:val="24"/>
        </w:rPr>
        <w:t>RED FLAGS -</w:t>
      </w:r>
      <w:r w:rsidRPr="00B402E7">
        <w:rPr>
          <w:rFonts w:ascii="Times New Roman" w:hAnsi="Times New Roman" w:cs="Times New Roman"/>
          <w:sz w:val="24"/>
          <w:szCs w:val="24"/>
        </w:rPr>
        <w:t xml:space="preserve"> When red flags are raised in the information that comes to your firm, you have a duty to investigate the suspicious circumstances, and inquire about the end-use, end-user, or country of destination. </w:t>
      </w:r>
    </w:p>
    <w:p w:rsidR="00FB4BE5" w:rsidRPr="00B402E7"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noProof/>
          <w:color w:val="FF0000"/>
          <w:sz w:val="24"/>
          <w:szCs w:val="24"/>
        </w:rPr>
        <mc:AlternateContent>
          <mc:Choice Requires="wps">
            <w:drawing>
              <wp:anchor distT="0" distB="0" distL="114300" distR="114300" simplePos="0" relativeHeight="251663360" behindDoc="0" locked="0" layoutInCell="1" allowOverlap="1" wp14:anchorId="79A44A44" wp14:editId="2EC20CC3">
                <wp:simplePos x="0" y="0"/>
                <wp:positionH relativeFrom="column">
                  <wp:posOffset>1270</wp:posOffset>
                </wp:positionH>
                <wp:positionV relativeFrom="paragraph">
                  <wp:posOffset>151765</wp:posOffset>
                </wp:positionV>
                <wp:extent cx="381635" cy="285750"/>
                <wp:effectExtent l="0" t="0" r="1841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5750"/>
                        </a:xfrm>
                        <a:prstGeom prst="rect">
                          <a:avLst/>
                        </a:prstGeom>
                        <a:solidFill>
                          <a:srgbClr val="FF0000"/>
                        </a:solidFill>
                        <a:ln w="9525">
                          <a:solidFill>
                            <a:srgbClr val="000000"/>
                          </a:solidFill>
                          <a:miter lim="800000"/>
                          <a:headEnd/>
                          <a:tailEnd/>
                        </a:ln>
                      </wps:spPr>
                      <wps:txbx>
                        <w:txbxContent>
                          <w:p w:rsidR="00FB4BE5" w:rsidRPr="00D44EB9" w:rsidRDefault="00FB4BE5" w:rsidP="00FB4BE5">
                            <w:pPr>
                              <w:rPr>
                                <w:b/>
                                <w:color w:val="FFFFFF" w:themeColor="background1"/>
                                <w:sz w:val="18"/>
                                <w:szCs w:val="18"/>
                              </w:rPr>
                            </w:pPr>
                            <w:r w:rsidRPr="00D44EB9">
                              <w:rPr>
                                <w:b/>
                                <w:color w:val="FFFFFF" w:themeColor="background1"/>
                                <w:sz w:val="18"/>
                                <w:szCs w:val="18"/>
                              </w:rPr>
                              <w:t>NO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pt;margin-top:11.95pt;width:30.0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" fillcolor="red">
                <v:textbox>
                  <w:txbxContent>
                    <w:p w:rsidR="00FB4BE5" w:rsidRPr="00D44EB9" w:rsidRDefault="00FB4BE5" w:rsidP="00FB4BE5">
                      <w:pPr>
                        <w:rPr>
                          <w:b/>
                          <w:color w:val="FFFFFF" w:themeColor="background1"/>
                          <w:sz w:val="18"/>
                          <w:szCs w:val="18"/>
                        </w:rPr>
                      </w:pPr>
                      <w:r w:rsidRPr="00D44EB9">
                        <w:rPr>
                          <w:b/>
                          <w:color w:val="FFFFFF" w:themeColor="background1"/>
                          <w:sz w:val="18"/>
                          <w:szCs w:val="18"/>
                        </w:rPr>
                        <w:t>NO</w:t>
                      </w:r>
                    </w:p>
                  </w:txbxContent>
                </v:textbox>
              </v:shape>
            </w:pict>
          </mc:Fallback>
        </mc:AlternateContent>
      </w:r>
    </w:p>
    <w:p w:rsidR="00FB4BE5" w:rsidRPr="00B402E7" w:rsidRDefault="00FB4BE5" w:rsidP="00FB4BE5">
      <w:pPr>
        <w:autoSpaceDE w:val="0"/>
        <w:autoSpaceDN w:val="0"/>
        <w:adjustRightInd w:val="0"/>
        <w:spacing w:after="0" w:line="240" w:lineRule="auto"/>
        <w:ind w:left="720"/>
        <w:jc w:val="both"/>
        <w:rPr>
          <w:rFonts w:ascii="Times New Roman" w:hAnsi="Times New Roman" w:cs="Times New Roman"/>
          <w:sz w:val="24"/>
          <w:szCs w:val="24"/>
        </w:rPr>
      </w:pPr>
      <w:r w:rsidRPr="00B402E7">
        <w:rPr>
          <w:rFonts w:ascii="Times New Roman" w:hAnsi="Times New Roman" w:cs="Times New Roman"/>
          <w:b/>
          <w:sz w:val="24"/>
          <w:szCs w:val="24"/>
        </w:rPr>
        <w:t>NO RED FLAGS -</w:t>
      </w:r>
      <w:r w:rsidRPr="00B402E7">
        <w:rPr>
          <w:rFonts w:ascii="Times New Roman" w:hAnsi="Times New Roman" w:cs="Times New Roman"/>
          <w:sz w:val="24"/>
          <w:szCs w:val="24"/>
        </w:rPr>
        <w:t xml:space="preserve"> There is no affirmative duty upon shippers to inquire, verify, or otherwise "go behind" the customer's representations.</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C462F5" w:rsidRDefault="00FB4BE5" w:rsidP="00FB4BE5">
      <w:pPr>
        <w:autoSpaceDE w:val="0"/>
        <w:autoSpaceDN w:val="0"/>
        <w:adjustRightInd w:val="0"/>
        <w:spacing w:after="0" w:line="240" w:lineRule="auto"/>
        <w:jc w:val="both"/>
        <w:rPr>
          <w:rFonts w:ascii="Times New Roman" w:hAnsi="Times New Roman" w:cs="Times New Roman"/>
          <w:b/>
          <w:color w:val="000000" w:themeColor="text1"/>
          <w:u w:val="single"/>
        </w:rPr>
      </w:pPr>
    </w:p>
    <w:p w:rsidR="00FB4BE5" w:rsidRPr="00D42BAB" w:rsidRDefault="00FB4BE5" w:rsidP="00FB4BE5">
      <w:pPr>
        <w:autoSpaceDE w:val="0"/>
        <w:autoSpaceDN w:val="0"/>
        <w:adjustRightInd w:val="0"/>
        <w:spacing w:after="0" w:line="240" w:lineRule="auto"/>
        <w:jc w:val="both"/>
        <w:rPr>
          <w:rFonts w:ascii="Times New Roman" w:hAnsi="Times New Roman" w:cs="Times New Roman"/>
          <w:b/>
          <w:color w:val="0070C0"/>
          <w:u w:val="single"/>
        </w:rPr>
      </w:pPr>
      <w:hyperlink r:id="rId22" w:history="1">
        <w:r w:rsidRPr="00D42BAB">
          <w:rPr>
            <w:rStyle w:val="Hyperlink"/>
            <w:rFonts w:ascii="Times New Roman" w:hAnsi="Times New Roman" w:cs="Times New Roman"/>
            <w:b/>
          </w:rPr>
          <w:t>R</w:t>
        </w:r>
        <w:r>
          <w:rPr>
            <w:rStyle w:val="Hyperlink"/>
            <w:rFonts w:ascii="Times New Roman" w:hAnsi="Times New Roman" w:cs="Times New Roman"/>
            <w:b/>
          </w:rPr>
          <w:t>ed Flag Actions</w:t>
        </w:r>
      </w:hyperlink>
    </w:p>
    <w:p w:rsidR="00FB4BE5" w:rsidRDefault="00FB4BE5" w:rsidP="00FB4BE5">
      <w:pPr>
        <w:autoSpaceDE w:val="0"/>
        <w:autoSpaceDN w:val="0"/>
        <w:adjustRightInd w:val="0"/>
        <w:spacing w:after="0" w:line="240" w:lineRule="auto"/>
        <w:jc w:val="both"/>
        <w:rPr>
          <w:rFonts w:ascii="Times New Roman" w:hAnsi="Times New Roman" w:cs="Times New Roman"/>
        </w:rPr>
      </w:pPr>
    </w:p>
    <w:p w:rsidR="00FB4BE5" w:rsidRPr="00B402E7" w:rsidRDefault="00FB4BE5" w:rsidP="00FB4BE5">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5706AA1" wp14:editId="24B7A1DE">
                <wp:simplePos x="0" y="0"/>
                <wp:positionH relativeFrom="column">
                  <wp:posOffset>1302045</wp:posOffset>
                </wp:positionH>
                <wp:positionV relativeFrom="paragraph">
                  <wp:posOffset>55880</wp:posOffset>
                </wp:positionV>
                <wp:extent cx="238125" cy="45085"/>
                <wp:effectExtent l="0" t="19050" r="47625" b="31115"/>
                <wp:wrapNone/>
                <wp:docPr id="8" name="Right Arrow 8"/>
                <wp:cNvGraphicFramePr/>
                <a:graphic xmlns:a="http://schemas.openxmlformats.org/drawingml/2006/main">
                  <a:graphicData uri="http://schemas.microsoft.com/office/word/2010/wordprocessingShape">
                    <wps:wsp>
                      <wps:cNvSpPr/>
                      <wps:spPr>
                        <a:xfrm>
                          <a:off x="0" y="0"/>
                          <a:ext cx="23812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02.5pt;margin-top:4.4pt;width:18.75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" adj="19555" fillcolor="#4f81bd [3204]" strokecolor="#243f60 [1604]" strokeweight="2pt"/>
            </w:pict>
          </mc:Fallback>
        </mc:AlternateContent>
      </w:r>
      <w:r>
        <w:rPr>
          <w:rFonts w:ascii="Times New Roman" w:hAnsi="Times New Roman" w:cs="Times New Roman"/>
          <w:noProof/>
        </w:rPr>
        <w:drawing>
          <wp:anchor distT="0" distB="0" distL="114300" distR="114300" simplePos="0" relativeHeight="251666432" behindDoc="0" locked="0" layoutInCell="1" allowOverlap="1" wp14:anchorId="33C99365" wp14:editId="57286A0C">
            <wp:simplePos x="0" y="0"/>
            <wp:positionH relativeFrom="margin">
              <wp:posOffset>76200</wp:posOffset>
            </wp:positionH>
            <wp:positionV relativeFrom="margin">
              <wp:posOffset>6896735</wp:posOffset>
            </wp:positionV>
            <wp:extent cx="189865" cy="2667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Pr>
          <w:rFonts w:ascii="Times New Roman" w:hAnsi="Times New Roman" w:cs="Times New Roman"/>
        </w:rPr>
        <w:tab/>
      </w:r>
      <w:r w:rsidRPr="00B402E7">
        <w:rPr>
          <w:rFonts w:ascii="Times New Roman" w:hAnsi="Times New Roman" w:cs="Times New Roman"/>
          <w:b/>
          <w:sz w:val="24"/>
          <w:szCs w:val="24"/>
        </w:rPr>
        <w:t>Do not self-blind</w:t>
      </w:r>
      <w:r w:rsidRPr="00B402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02E7">
        <w:rPr>
          <w:rFonts w:ascii="Times New Roman" w:hAnsi="Times New Roman" w:cs="Times New Roman"/>
          <w:sz w:val="24"/>
          <w:szCs w:val="24"/>
        </w:rPr>
        <w:t xml:space="preserve">Do not cut off the flow of information that comes to your firm in the normal course of business. A company is not insulated from liability by taking steps to avoid "bad" information, and it would usually be considered an aggravating factor in an enforcement proceeding. Employees need to know how to handle red flags. </w:t>
      </w:r>
    </w:p>
    <w:p w:rsidR="00FB4BE5" w:rsidRPr="00B402E7" w:rsidRDefault="00FB4BE5" w:rsidP="00FB4BE5">
      <w:pPr>
        <w:pStyle w:val="ListParagraph"/>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noProof/>
          <w:sz w:val="24"/>
          <w:szCs w:val="24"/>
        </w:rPr>
        <w:drawing>
          <wp:anchor distT="0" distB="0" distL="114300" distR="114300" simplePos="0" relativeHeight="251667456" behindDoc="0" locked="0" layoutInCell="1" allowOverlap="1" wp14:anchorId="44793ED4" wp14:editId="7A6C1724">
            <wp:simplePos x="0" y="0"/>
            <wp:positionH relativeFrom="margin">
              <wp:posOffset>77470</wp:posOffset>
            </wp:positionH>
            <wp:positionV relativeFrom="margin">
              <wp:posOffset>7586345</wp:posOffset>
            </wp:positionV>
            <wp:extent cx="189865" cy="26670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sidRPr="00B402E7">
        <w:rPr>
          <w:rFonts w:ascii="Times New Roman" w:hAnsi="Times New Roman" w:cs="Times New Roman"/>
          <w:b/>
          <w:sz w:val="24"/>
          <w:szCs w:val="24"/>
        </w:rPr>
        <w:t>Knowledge possessed by an employee</w:t>
      </w:r>
      <w:r w:rsidRPr="00B402E7">
        <w:rPr>
          <w:rFonts w:ascii="Times New Roman" w:hAnsi="Times New Roman" w:cs="Times New Roman"/>
          <w:sz w:val="24"/>
          <w:szCs w:val="24"/>
        </w:rPr>
        <w:t xml:space="preserve"> of an enterprise can be imputed to a firm so as to make it liable for a violation. This makes it important for firms to establish clear policies and effective compliance procedures to ensure that such knowledge about transactions </w:t>
      </w:r>
      <w:r w:rsidRPr="00B402E7">
        <w:rPr>
          <w:rFonts w:ascii="Times New Roman" w:hAnsi="Times New Roman" w:cs="Times New Roman"/>
          <w:sz w:val="24"/>
          <w:szCs w:val="24"/>
        </w:rPr>
        <w:lastRenderedPageBreak/>
        <w:t xml:space="preserve">can be evaluated by responsible senior compliance officials. Failure to do so could be regarded as a form of self-blinding. </w:t>
      </w:r>
    </w:p>
    <w:p w:rsidR="00FB4BE5" w:rsidRPr="00B402E7" w:rsidRDefault="00FB4BE5" w:rsidP="00FB4BE5">
      <w:pPr>
        <w:pStyle w:val="ListParagraph"/>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noProof/>
          <w:sz w:val="24"/>
          <w:szCs w:val="24"/>
        </w:rPr>
        <w:drawing>
          <wp:anchor distT="0" distB="0" distL="114300" distR="114300" simplePos="0" relativeHeight="251668480" behindDoc="0" locked="0" layoutInCell="1" allowOverlap="1" wp14:anchorId="1FC0AEE6" wp14:editId="3E0279E8">
            <wp:simplePos x="0" y="0"/>
            <wp:positionH relativeFrom="margin">
              <wp:posOffset>80010</wp:posOffset>
            </wp:positionH>
            <wp:positionV relativeFrom="margin">
              <wp:posOffset>471805</wp:posOffset>
            </wp:positionV>
            <wp:extent cx="189865" cy="266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sidRPr="00B402E7">
        <w:rPr>
          <w:rFonts w:ascii="Times New Roman" w:hAnsi="Times New Roman" w:cs="Times New Roman"/>
          <w:b/>
          <w:sz w:val="24"/>
          <w:szCs w:val="24"/>
        </w:rPr>
        <w:t>Reevaluate all the information after the order inquiry</w:t>
      </w:r>
      <w:r w:rsidRPr="00B402E7">
        <w:rPr>
          <w:rFonts w:ascii="Times New Roman" w:hAnsi="Times New Roman" w:cs="Times New Roman"/>
          <w:sz w:val="24"/>
          <w:szCs w:val="24"/>
        </w:rPr>
        <w:t xml:space="preserve"> - The purpose of this inquiry and reevaluation is to determine whether the red flags can be explained or justified. If they can, you may proceed with the transaction. </w:t>
      </w:r>
      <w:r w:rsidRPr="00B402E7">
        <w:rPr>
          <w:rFonts w:ascii="Times New Roman" w:hAnsi="Times New Roman" w:cs="Times New Roman"/>
          <w:b/>
          <w:sz w:val="24"/>
          <w:szCs w:val="24"/>
        </w:rPr>
        <w:t>If all doubts are not resolved, refrain from the transaction, disclose the information to your firm’s CCO or the government authorities</w:t>
      </w:r>
      <w:r w:rsidRPr="00B402E7">
        <w:rPr>
          <w:rFonts w:ascii="Times New Roman" w:hAnsi="Times New Roman" w:cs="Times New Roman"/>
          <w:sz w:val="24"/>
          <w:szCs w:val="24"/>
        </w:rPr>
        <w:t xml:space="preserve"> and wait.”</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i/>
          <w:sz w:val="24"/>
          <w:szCs w:val="24"/>
        </w:rPr>
      </w:pPr>
      <w:r w:rsidRPr="00B402E7">
        <w:rPr>
          <w:rFonts w:ascii="Times New Roman" w:hAnsi="Times New Roman" w:cs="Times New Roman"/>
          <w:sz w:val="24"/>
          <w:szCs w:val="24"/>
          <w:u w:val="single"/>
        </w:rPr>
        <w:t>Note</w:t>
      </w:r>
      <w:r w:rsidRPr="00B402E7">
        <w:rPr>
          <w:rFonts w:ascii="Times New Roman" w:hAnsi="Times New Roman" w:cs="Times New Roman"/>
          <w:sz w:val="24"/>
          <w:szCs w:val="24"/>
        </w:rPr>
        <w:t xml:space="preserve">: </w:t>
      </w:r>
      <w:r w:rsidRPr="00B402E7">
        <w:rPr>
          <w:rFonts w:ascii="Times New Roman" w:hAnsi="Times New Roman" w:cs="Times New Roman"/>
          <w:i/>
          <w:sz w:val="24"/>
          <w:szCs w:val="24"/>
        </w:rPr>
        <w:t xml:space="preserve">The Implementation Aids section of the ICP Guide contains red flag checklists, diversion risk checklists, and other practical screening resources that may assist your enterprise. Please </w:t>
      </w:r>
      <w:hyperlink r:id="rId24" w:history="1">
        <w:r w:rsidRPr="00B402E7">
          <w:rPr>
            <w:rStyle w:val="Hyperlink"/>
            <w:rFonts w:ascii="Times New Roman" w:hAnsi="Times New Roman" w:cs="Times New Roman"/>
            <w:b/>
            <w:i/>
            <w:sz w:val="24"/>
            <w:szCs w:val="24"/>
          </w:rPr>
          <w:t>click here</w:t>
        </w:r>
      </w:hyperlink>
      <w:r w:rsidRPr="00B402E7">
        <w:rPr>
          <w:rFonts w:ascii="Times New Roman" w:hAnsi="Times New Roman" w:cs="Times New Roman"/>
          <w:i/>
          <w:sz w:val="24"/>
          <w:szCs w:val="24"/>
        </w:rPr>
        <w:t xml:space="preserve"> to access these materials.</w:t>
      </w:r>
    </w:p>
    <w:p w:rsidR="00FB4BE5" w:rsidRDefault="00FB4BE5" w:rsidP="00FB4BE5">
      <w:pPr>
        <w:autoSpaceDE w:val="0"/>
        <w:autoSpaceDN w:val="0"/>
        <w:adjustRightInd w:val="0"/>
        <w:spacing w:after="0" w:line="240" w:lineRule="auto"/>
        <w:jc w:val="both"/>
        <w:rPr>
          <w:rFonts w:ascii="Times New Roman" w:hAnsi="Times New Roman" w:cs="Times New Roman"/>
        </w:rPr>
      </w:pPr>
    </w:p>
    <w:p w:rsidR="00FB4BE5" w:rsidRDefault="00FB4BE5" w:rsidP="00FB4BE5">
      <w:pPr>
        <w:rPr>
          <w:rFonts w:ascii="Times New Roman" w:hAnsi="Times New Roman" w:cs="Times New Roman"/>
          <w:u w:val="single"/>
        </w:rPr>
      </w:pPr>
      <w:r>
        <w:rPr>
          <w:rFonts w:ascii="Times New Roman" w:hAnsi="Times New Roman" w:cs="Times New Roman"/>
          <w:u w:val="single"/>
        </w:rPr>
        <w:br w:type="page"/>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u w:val="single"/>
        </w:rPr>
        <w:lastRenderedPageBreak/>
        <w:t>Licensing Requirements: Additional Precautions</w:t>
      </w:r>
      <w:r w:rsidRPr="00B402E7">
        <w:rPr>
          <w:rFonts w:ascii="Times New Roman" w:hAnsi="Times New Roman" w:cs="Times New Roman"/>
          <w:sz w:val="24"/>
          <w:szCs w:val="24"/>
        </w:rPr>
        <w:t xml:space="preserve"> </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In addition to red flags, shippers should also be aware of the </w:t>
      </w:r>
      <w:r w:rsidRPr="00B402E7">
        <w:rPr>
          <w:rFonts w:ascii="Times New Roman" w:hAnsi="Times New Roman" w:cs="Times New Roman"/>
          <w:b/>
          <w:sz w:val="24"/>
          <w:szCs w:val="24"/>
        </w:rPr>
        <w:t>package handling instructions</w:t>
      </w:r>
      <w:r w:rsidRPr="00B402E7">
        <w:rPr>
          <w:rFonts w:ascii="Times New Roman" w:hAnsi="Times New Roman" w:cs="Times New Roman"/>
          <w:sz w:val="24"/>
          <w:szCs w:val="24"/>
        </w:rPr>
        <w:t xml:space="preserve">. Sometimes the </w:t>
      </w:r>
      <w:r w:rsidRPr="00B402E7">
        <w:rPr>
          <w:rFonts w:ascii="Times New Roman" w:hAnsi="Times New Roman" w:cs="Times New Roman"/>
          <w:b/>
          <w:sz w:val="24"/>
          <w:szCs w:val="24"/>
        </w:rPr>
        <w:t>signage on the package can warrant further investigation</w:t>
      </w:r>
      <w:r w:rsidRPr="00B402E7">
        <w:rPr>
          <w:rFonts w:ascii="Times New Roman" w:hAnsi="Times New Roman" w:cs="Times New Roman"/>
          <w:sz w:val="24"/>
          <w:szCs w:val="24"/>
        </w:rPr>
        <w:t xml:space="preserve">. Often, the products in such packages will be on the control list, and will require an export or transit license. </w:t>
      </w: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Some examples of the categories that merit attention by the shippers include:</w:t>
      </w:r>
    </w:p>
    <w:p w:rsidR="00FB4BE5" w:rsidRPr="00EA5D77" w:rsidRDefault="00FB4BE5" w:rsidP="00FB4BE5">
      <w:pPr>
        <w:autoSpaceDE w:val="0"/>
        <w:autoSpaceDN w:val="0"/>
        <w:adjustRightInd w:val="0"/>
        <w:spacing w:after="0" w:line="240" w:lineRule="auto"/>
        <w:jc w:val="both"/>
        <w:rPr>
          <w:rFonts w:ascii="Times New Roman" w:hAnsi="Times New Roman" w:cs="Times New Roman"/>
          <w:b/>
        </w:rPr>
      </w:pPr>
    </w:p>
    <w:p w:rsidR="00FB4BE5" w:rsidRDefault="00FB4BE5" w:rsidP="00FB4BE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000B96A5" wp14:editId="579EF7DB">
            <wp:extent cx="5943600" cy="1216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5.b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216660"/>
                    </a:xfrm>
                    <a:prstGeom prst="rect">
                      <a:avLst/>
                    </a:prstGeom>
                  </pic:spPr>
                </pic:pic>
              </a:graphicData>
            </a:graphic>
          </wp:inline>
        </w:drawing>
      </w:r>
    </w:p>
    <w:p w:rsidR="00FB4BE5" w:rsidRDefault="00FB4BE5" w:rsidP="00FB4BE5">
      <w:pPr>
        <w:rPr>
          <w:rFonts w:ascii="Times New Roman" w:hAnsi="Times New Roman" w:cs="Times New Roman"/>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u w:val="single"/>
        </w:rPr>
        <w:t>Licensing Requirements: Assessing Transaction Risks</w:t>
      </w:r>
      <w:r w:rsidRPr="00B402E7">
        <w:rPr>
          <w:rFonts w:ascii="Times New Roman" w:hAnsi="Times New Roman" w:cs="Times New Roman"/>
          <w:sz w:val="24"/>
          <w:szCs w:val="24"/>
        </w:rPr>
        <w:t xml:space="preserve"> </w:t>
      </w:r>
    </w:p>
    <w:p w:rsidR="00FB4BE5" w:rsidRPr="00B402E7" w:rsidRDefault="00FB4BE5" w:rsidP="00FB4BE5">
      <w:pPr>
        <w:autoSpaceDE w:val="0"/>
        <w:autoSpaceDN w:val="0"/>
        <w:adjustRightInd w:val="0"/>
        <w:spacing w:after="0" w:line="240" w:lineRule="auto"/>
        <w:jc w:val="both"/>
        <w:rPr>
          <w:rFonts w:ascii="Times New Roman" w:hAnsi="Times New Roman" w:cs="Times New Roman"/>
          <w:b/>
          <w:sz w:val="24"/>
          <w:szCs w:val="24"/>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The graphic below provides a “risk matrix” based on various indicators. A risk matrix can be useful tool to assist your enterprise in determining the level of risk associated with a transaction.</w:t>
      </w:r>
    </w:p>
    <w:p w:rsidR="00FB4BE5" w:rsidRDefault="00FB4BE5" w:rsidP="00FB4BE5">
      <w:pPr>
        <w:autoSpaceDE w:val="0"/>
        <w:autoSpaceDN w:val="0"/>
        <w:adjustRightInd w:val="0"/>
        <w:spacing w:after="0" w:line="240" w:lineRule="auto"/>
        <w:jc w:val="both"/>
        <w:rPr>
          <w:rFonts w:ascii="Times New Roman" w:hAnsi="Times New Roman" w:cs="Times New Roman"/>
        </w:rPr>
      </w:pPr>
    </w:p>
    <w:p w:rsidR="00FB4BE5" w:rsidRDefault="00FB4BE5" w:rsidP="00FB4BE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08976414" wp14:editId="32E71A60">
            <wp:extent cx="4491165" cy="3333750"/>
            <wp:effectExtent l="19050" t="19050" r="241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indicators.bmp"/>
                    <pic:cNvPicPr/>
                  </pic:nvPicPr>
                  <pic:blipFill>
                    <a:blip r:embed="rId26">
                      <a:extLst>
                        <a:ext uri="{28A0092B-C50C-407E-A947-70E740481C1C}">
                          <a14:useLocalDpi xmlns:a14="http://schemas.microsoft.com/office/drawing/2010/main" val="0"/>
                        </a:ext>
                      </a:extLst>
                    </a:blip>
                    <a:stretch>
                      <a:fillRect/>
                    </a:stretch>
                  </pic:blipFill>
                  <pic:spPr>
                    <a:xfrm>
                      <a:off x="0" y="0"/>
                      <a:ext cx="4491165" cy="3333750"/>
                    </a:xfrm>
                    <a:prstGeom prst="rect">
                      <a:avLst/>
                    </a:prstGeom>
                    <a:ln>
                      <a:solidFill>
                        <a:schemeClr val="tx1"/>
                      </a:solidFill>
                    </a:ln>
                  </pic:spPr>
                </pic:pic>
              </a:graphicData>
            </a:graphic>
          </wp:inline>
        </w:drawing>
      </w:r>
    </w:p>
    <w:p w:rsidR="00FB4BE5" w:rsidRDefault="00FB4BE5" w:rsidP="00FB4BE5">
      <w:pPr>
        <w:autoSpaceDE w:val="0"/>
        <w:autoSpaceDN w:val="0"/>
        <w:adjustRightInd w:val="0"/>
        <w:spacing w:after="0" w:line="240" w:lineRule="auto"/>
        <w:jc w:val="center"/>
        <w:rPr>
          <w:rFonts w:ascii="Times New Roman" w:hAnsi="Times New Roman" w:cs="Times New Roman"/>
        </w:rPr>
      </w:pPr>
    </w:p>
    <w:p w:rsidR="00FB4BE5" w:rsidRPr="00B402E7" w:rsidRDefault="00FB4BE5" w:rsidP="00FB4BE5">
      <w:pPr>
        <w:autoSpaceDE w:val="0"/>
        <w:autoSpaceDN w:val="0"/>
        <w:adjustRightInd w:val="0"/>
        <w:spacing w:after="0" w:line="240" w:lineRule="auto"/>
        <w:jc w:val="both"/>
        <w:rPr>
          <w:rFonts w:ascii="Times New Roman" w:hAnsi="Times New Roman" w:cs="Times New Roman"/>
          <w:i/>
          <w:sz w:val="24"/>
          <w:szCs w:val="24"/>
        </w:rPr>
      </w:pPr>
      <w:r w:rsidRPr="00B402E7">
        <w:rPr>
          <w:rFonts w:ascii="Times New Roman" w:hAnsi="Times New Roman" w:cs="Times New Roman"/>
          <w:sz w:val="24"/>
          <w:szCs w:val="24"/>
          <w:u w:val="single"/>
        </w:rPr>
        <w:t>Note</w:t>
      </w:r>
      <w:r w:rsidRPr="00B402E7">
        <w:rPr>
          <w:rFonts w:ascii="Times New Roman" w:hAnsi="Times New Roman" w:cs="Times New Roman"/>
          <w:sz w:val="24"/>
          <w:szCs w:val="24"/>
        </w:rPr>
        <w:t xml:space="preserve">: </w:t>
      </w:r>
      <w:r w:rsidRPr="00B402E7">
        <w:rPr>
          <w:rFonts w:ascii="Times New Roman" w:hAnsi="Times New Roman" w:cs="Times New Roman"/>
          <w:i/>
          <w:sz w:val="24"/>
          <w:szCs w:val="24"/>
        </w:rPr>
        <w:t xml:space="preserve">The Implementation Aids section of the ICP Guide contains a risk matrix and a diversion risk checklist, and other practical resources that may assist your enterprise in screening transactions. Please </w:t>
      </w:r>
      <w:hyperlink r:id="rId27" w:history="1">
        <w:r w:rsidRPr="00B402E7">
          <w:rPr>
            <w:rStyle w:val="Hyperlink"/>
            <w:rFonts w:ascii="Times New Roman" w:hAnsi="Times New Roman" w:cs="Times New Roman"/>
            <w:b/>
            <w:i/>
            <w:sz w:val="24"/>
            <w:szCs w:val="24"/>
          </w:rPr>
          <w:t>click here</w:t>
        </w:r>
      </w:hyperlink>
      <w:r w:rsidRPr="00B402E7">
        <w:rPr>
          <w:rFonts w:ascii="Times New Roman" w:hAnsi="Times New Roman" w:cs="Times New Roman"/>
          <w:i/>
          <w:sz w:val="24"/>
          <w:szCs w:val="24"/>
        </w:rPr>
        <w:t xml:space="preserve"> to access these materials.</w:t>
      </w:r>
      <w:r w:rsidRPr="00B402E7">
        <w:rPr>
          <w:rFonts w:ascii="Times New Roman" w:hAnsi="Times New Roman" w:cs="Times New Roman"/>
          <w:sz w:val="24"/>
          <w:szCs w:val="24"/>
        </w:rPr>
        <w:br w:type="page"/>
      </w:r>
    </w:p>
    <w:p w:rsidR="00BE4A77" w:rsidRPr="00645EDE" w:rsidRDefault="00BE4A77" w:rsidP="00645EDE">
      <w:pPr>
        <w:autoSpaceDE w:val="0"/>
        <w:autoSpaceDN w:val="0"/>
        <w:adjustRightInd w:val="0"/>
        <w:spacing w:after="0" w:line="240" w:lineRule="auto"/>
        <w:jc w:val="both"/>
        <w:rPr>
          <w:rFonts w:ascii="Times New Roman" w:hAnsi="Times New Roman" w:cs="Times New Roman"/>
          <w:i/>
          <w:sz w:val="24"/>
          <w:szCs w:val="24"/>
        </w:rPr>
      </w:pPr>
    </w:p>
    <w:sectPr w:rsidR="00BE4A77" w:rsidRPr="00645EDE" w:rsidSect="0031324E">
      <w:footerReference w:type="default" r:id="rId28"/>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9CF" w:rsidRDefault="00FD39CF" w:rsidP="006F2B1A">
      <w:pPr>
        <w:spacing w:after="0" w:line="240" w:lineRule="auto"/>
      </w:pPr>
      <w:r>
        <w:separator/>
      </w:r>
    </w:p>
  </w:endnote>
  <w:endnote w:type="continuationSeparator" w:id="0">
    <w:p w:rsidR="00FD39CF" w:rsidRDefault="00FD39CF" w:rsidP="006F2B1A">
      <w:pPr>
        <w:spacing w:after="0" w:line="240" w:lineRule="auto"/>
      </w:pPr>
      <w:r>
        <w:continuationSeparator/>
      </w:r>
    </w:p>
  </w:endnote>
  <w:endnote w:id="1">
    <w:p w:rsidR="00FB4BE5" w:rsidRPr="008C2410" w:rsidRDefault="00FB4BE5" w:rsidP="00FB4BE5">
      <w:pPr>
        <w:pStyle w:val="EndnoteText"/>
        <w:rPr>
          <w:rFonts w:ascii="Times New Roman" w:hAnsi="Times New Roman" w:cs="Times New Roman"/>
        </w:rPr>
      </w:pPr>
      <w:r>
        <w:rPr>
          <w:rStyle w:val="EndnoteReference"/>
        </w:rPr>
        <w:endnoteRef/>
      </w:r>
      <w:r>
        <w:t xml:space="preserve"> </w:t>
      </w:r>
      <w:bookmarkStart w:id="0" w:name="_GoBack"/>
      <w:bookmarkEnd w:id="0"/>
      <w:r w:rsidRPr="009C7AD3">
        <w:rPr>
          <w:rFonts w:ascii="Times New Roman" w:hAnsi="Times New Roman" w:cs="Times New Roman"/>
          <w:u w:val="single"/>
        </w:rPr>
        <w:t>Note</w:t>
      </w:r>
      <w:r>
        <w:rPr>
          <w:rFonts w:ascii="Times New Roman" w:hAnsi="Times New Roman" w:cs="Times New Roman"/>
        </w:rPr>
        <w:t xml:space="preserve">: </w:t>
      </w:r>
      <w:r w:rsidRPr="008C2410">
        <w:rPr>
          <w:rFonts w:ascii="Times New Roman" w:hAnsi="Times New Roman" w:cs="Times New Roman"/>
          <w:i/>
          <w:color w:val="000000" w:themeColor="text1"/>
        </w:rPr>
        <w:t>The ICP Guide relies on the term “Commodity Classification Number (CCN) and Export Classification Number (ECN)” throughout. Commodity Control Number (CCN), Export Control Number (ECN) or Export Control Classification Number (ECCN). Your enterprise should determine the appropriate and recognized term utilized in your country. Some countries use the term.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242276"/>
      <w:docPartObj>
        <w:docPartGallery w:val="Page Numbers (Bottom of Page)"/>
        <w:docPartUnique/>
      </w:docPartObj>
    </w:sdtPr>
    <w:sdtEndPr>
      <w:rPr>
        <w:noProof/>
      </w:rPr>
    </w:sdtEndPr>
    <w:sdtContent>
      <w:p w:rsidR="00FB4BE5" w:rsidRDefault="00FB4BE5">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FB4BE5" w:rsidRDefault="00FB4B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455236"/>
      <w:docPartObj>
        <w:docPartGallery w:val="Page Numbers (Bottom of Page)"/>
        <w:docPartUnique/>
      </w:docPartObj>
    </w:sdtPr>
    <w:sdtEndPr>
      <w:rPr>
        <w:noProof/>
      </w:rPr>
    </w:sdtEndPr>
    <w:sdtContent>
      <w:p w:rsidR="004F1B60" w:rsidRDefault="004F1B60">
        <w:pPr>
          <w:pStyle w:val="Footer"/>
          <w:jc w:val="right"/>
        </w:pPr>
        <w:r>
          <w:fldChar w:fldCharType="begin"/>
        </w:r>
        <w:r>
          <w:instrText xml:space="preserve"> PAGE   \* MERGEFORMAT </w:instrText>
        </w:r>
        <w:r>
          <w:fldChar w:fldCharType="separate"/>
        </w:r>
        <w:r w:rsidR="00FB4BE5">
          <w:rPr>
            <w:noProof/>
          </w:rPr>
          <w:t>14</w:t>
        </w:r>
        <w:r>
          <w:rPr>
            <w:noProof/>
          </w:rPr>
          <w:fldChar w:fldCharType="end"/>
        </w:r>
      </w:p>
    </w:sdtContent>
  </w:sdt>
  <w:p w:rsidR="004F1B60" w:rsidRDefault="004F1B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9CF" w:rsidRDefault="00FD39CF" w:rsidP="006F2B1A">
      <w:pPr>
        <w:spacing w:after="0" w:line="240" w:lineRule="auto"/>
      </w:pPr>
      <w:r>
        <w:separator/>
      </w:r>
    </w:p>
  </w:footnote>
  <w:footnote w:type="continuationSeparator" w:id="0">
    <w:p w:rsidR="00FD39CF" w:rsidRDefault="00FD39CF" w:rsidP="006F2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446"/>
    <w:multiLevelType w:val="hybridMultilevel"/>
    <w:tmpl w:val="EFFE76DC"/>
    <w:lvl w:ilvl="0" w:tplc="487E78DC">
      <w:start w:val="1"/>
      <w:numFmt w:val="decimal"/>
      <w:lvlText w:val="%1."/>
      <w:lvlJc w:val="left"/>
      <w:pPr>
        <w:ind w:left="720" w:hanging="360"/>
      </w:pPr>
      <w:rPr>
        <w:rFonts w:cs="Times New Roman"/>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B744D"/>
    <w:multiLevelType w:val="hybridMultilevel"/>
    <w:tmpl w:val="1E0E7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32CB1"/>
    <w:multiLevelType w:val="hybridMultilevel"/>
    <w:tmpl w:val="80E0ABF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14DAE"/>
    <w:multiLevelType w:val="hybridMultilevel"/>
    <w:tmpl w:val="7D383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9720B0"/>
    <w:multiLevelType w:val="hybridMultilevel"/>
    <w:tmpl w:val="571A1A76"/>
    <w:lvl w:ilvl="0" w:tplc="DEA63762">
      <w:start w:val="1"/>
      <w:numFmt w:val="bullet"/>
      <w:lvlText w:val=""/>
      <w:lvlJc w:val="left"/>
      <w:pPr>
        <w:ind w:left="720" w:hanging="360"/>
      </w:pPr>
      <w:rPr>
        <w:rFonts w:ascii="Wingdings" w:hAnsi="Wingdings" w:hint="default"/>
        <w:b/>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C2C26"/>
    <w:multiLevelType w:val="hybridMultilevel"/>
    <w:tmpl w:val="CDF81F66"/>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A3797"/>
    <w:multiLevelType w:val="hybridMultilevel"/>
    <w:tmpl w:val="C0CC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A61B6"/>
    <w:multiLevelType w:val="hybridMultilevel"/>
    <w:tmpl w:val="7ED8B3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0E5C45"/>
    <w:multiLevelType w:val="hybridMultilevel"/>
    <w:tmpl w:val="EC226DBA"/>
    <w:lvl w:ilvl="0" w:tplc="041A000F">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11712D"/>
    <w:multiLevelType w:val="hybridMultilevel"/>
    <w:tmpl w:val="4AB2027A"/>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9542C"/>
    <w:multiLevelType w:val="hybridMultilevel"/>
    <w:tmpl w:val="E0A00DD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F1FAE"/>
    <w:multiLevelType w:val="hybridMultilevel"/>
    <w:tmpl w:val="492440EE"/>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040341"/>
    <w:multiLevelType w:val="hybridMultilevel"/>
    <w:tmpl w:val="FEDE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8A5426"/>
    <w:multiLevelType w:val="hybridMultilevel"/>
    <w:tmpl w:val="08AC2FD4"/>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460E9"/>
    <w:multiLevelType w:val="hybridMultilevel"/>
    <w:tmpl w:val="059CA5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E36E08"/>
    <w:multiLevelType w:val="hybridMultilevel"/>
    <w:tmpl w:val="048CABAC"/>
    <w:lvl w:ilvl="0" w:tplc="5D0E6DD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3E702F"/>
    <w:multiLevelType w:val="hybridMultilevel"/>
    <w:tmpl w:val="13DE6F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0EB53BD"/>
    <w:multiLevelType w:val="hybridMultilevel"/>
    <w:tmpl w:val="D93C84BA"/>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1E438D"/>
    <w:multiLevelType w:val="hybridMultilevel"/>
    <w:tmpl w:val="96501B68"/>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0159FC"/>
    <w:multiLevelType w:val="hybridMultilevel"/>
    <w:tmpl w:val="A06A9A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20B72BC"/>
    <w:multiLevelType w:val="hybridMultilevel"/>
    <w:tmpl w:val="3D6E00B6"/>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D26A6B"/>
    <w:multiLevelType w:val="hybridMultilevel"/>
    <w:tmpl w:val="BEF43C3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2F19E7"/>
    <w:multiLevelType w:val="hybridMultilevel"/>
    <w:tmpl w:val="C7DCC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A84BB8"/>
    <w:multiLevelType w:val="hybridMultilevel"/>
    <w:tmpl w:val="18283B2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574BBC"/>
    <w:multiLevelType w:val="hybridMultilevel"/>
    <w:tmpl w:val="67F0DA9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EA08FD"/>
    <w:multiLevelType w:val="hybridMultilevel"/>
    <w:tmpl w:val="B37AD8FE"/>
    <w:lvl w:ilvl="0" w:tplc="21F065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CA1EB1"/>
    <w:multiLevelType w:val="hybridMultilevel"/>
    <w:tmpl w:val="56989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1E2355"/>
    <w:multiLevelType w:val="hybridMultilevel"/>
    <w:tmpl w:val="34DC6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D12F38"/>
    <w:multiLevelType w:val="hybridMultilevel"/>
    <w:tmpl w:val="43EE6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3047ED"/>
    <w:multiLevelType w:val="hybridMultilevel"/>
    <w:tmpl w:val="0E0AD7D2"/>
    <w:lvl w:ilvl="0" w:tplc="DF02C9C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B20770F"/>
    <w:multiLevelType w:val="hybridMultilevel"/>
    <w:tmpl w:val="697E897A"/>
    <w:lvl w:ilvl="0" w:tplc="99468F4C">
      <w:start w:val="1"/>
      <w:numFmt w:val="decimal"/>
      <w:lvlText w:val="%1."/>
      <w:lvlJc w:val="left"/>
      <w:pPr>
        <w:ind w:left="720" w:hanging="36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F53A5C"/>
    <w:multiLevelType w:val="hybridMultilevel"/>
    <w:tmpl w:val="32C4E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12189E"/>
    <w:multiLevelType w:val="hybridMultilevel"/>
    <w:tmpl w:val="53484164"/>
    <w:lvl w:ilvl="0" w:tplc="14CE9064">
      <w:start w:val="1"/>
      <w:numFmt w:val="bullet"/>
      <w:lvlText w:val="–"/>
      <w:lvlJc w:val="left"/>
      <w:pPr>
        <w:tabs>
          <w:tab w:val="num" w:pos="720"/>
        </w:tabs>
        <w:ind w:left="720" w:hanging="360"/>
      </w:pPr>
      <w:rPr>
        <w:rFonts w:ascii="Arial" w:hAnsi="Arial" w:hint="default"/>
      </w:rPr>
    </w:lvl>
    <w:lvl w:ilvl="1" w:tplc="BE08BE32">
      <w:start w:val="1"/>
      <w:numFmt w:val="bullet"/>
      <w:lvlText w:val="–"/>
      <w:lvlJc w:val="left"/>
      <w:pPr>
        <w:tabs>
          <w:tab w:val="num" w:pos="1440"/>
        </w:tabs>
        <w:ind w:left="1440" w:hanging="360"/>
      </w:pPr>
      <w:rPr>
        <w:rFonts w:ascii="Arial" w:hAnsi="Arial" w:hint="default"/>
      </w:rPr>
    </w:lvl>
    <w:lvl w:ilvl="2" w:tplc="1756974C" w:tentative="1">
      <w:start w:val="1"/>
      <w:numFmt w:val="bullet"/>
      <w:lvlText w:val="–"/>
      <w:lvlJc w:val="left"/>
      <w:pPr>
        <w:tabs>
          <w:tab w:val="num" w:pos="2160"/>
        </w:tabs>
        <w:ind w:left="2160" w:hanging="360"/>
      </w:pPr>
      <w:rPr>
        <w:rFonts w:ascii="Arial" w:hAnsi="Arial" w:hint="default"/>
      </w:rPr>
    </w:lvl>
    <w:lvl w:ilvl="3" w:tplc="B1A48AD4" w:tentative="1">
      <w:start w:val="1"/>
      <w:numFmt w:val="bullet"/>
      <w:lvlText w:val="–"/>
      <w:lvlJc w:val="left"/>
      <w:pPr>
        <w:tabs>
          <w:tab w:val="num" w:pos="2880"/>
        </w:tabs>
        <w:ind w:left="2880" w:hanging="360"/>
      </w:pPr>
      <w:rPr>
        <w:rFonts w:ascii="Arial" w:hAnsi="Arial" w:hint="default"/>
      </w:rPr>
    </w:lvl>
    <w:lvl w:ilvl="4" w:tplc="8D50ACB8" w:tentative="1">
      <w:start w:val="1"/>
      <w:numFmt w:val="bullet"/>
      <w:lvlText w:val="–"/>
      <w:lvlJc w:val="left"/>
      <w:pPr>
        <w:tabs>
          <w:tab w:val="num" w:pos="3600"/>
        </w:tabs>
        <w:ind w:left="3600" w:hanging="360"/>
      </w:pPr>
      <w:rPr>
        <w:rFonts w:ascii="Arial" w:hAnsi="Arial" w:hint="default"/>
      </w:rPr>
    </w:lvl>
    <w:lvl w:ilvl="5" w:tplc="AFB8B6F8" w:tentative="1">
      <w:start w:val="1"/>
      <w:numFmt w:val="bullet"/>
      <w:lvlText w:val="–"/>
      <w:lvlJc w:val="left"/>
      <w:pPr>
        <w:tabs>
          <w:tab w:val="num" w:pos="4320"/>
        </w:tabs>
        <w:ind w:left="4320" w:hanging="360"/>
      </w:pPr>
      <w:rPr>
        <w:rFonts w:ascii="Arial" w:hAnsi="Arial" w:hint="default"/>
      </w:rPr>
    </w:lvl>
    <w:lvl w:ilvl="6" w:tplc="E89C4066" w:tentative="1">
      <w:start w:val="1"/>
      <w:numFmt w:val="bullet"/>
      <w:lvlText w:val="–"/>
      <w:lvlJc w:val="left"/>
      <w:pPr>
        <w:tabs>
          <w:tab w:val="num" w:pos="5040"/>
        </w:tabs>
        <w:ind w:left="5040" w:hanging="360"/>
      </w:pPr>
      <w:rPr>
        <w:rFonts w:ascii="Arial" w:hAnsi="Arial" w:hint="default"/>
      </w:rPr>
    </w:lvl>
    <w:lvl w:ilvl="7" w:tplc="DCA66520" w:tentative="1">
      <w:start w:val="1"/>
      <w:numFmt w:val="bullet"/>
      <w:lvlText w:val="–"/>
      <w:lvlJc w:val="left"/>
      <w:pPr>
        <w:tabs>
          <w:tab w:val="num" w:pos="5760"/>
        </w:tabs>
        <w:ind w:left="5760" w:hanging="360"/>
      </w:pPr>
      <w:rPr>
        <w:rFonts w:ascii="Arial" w:hAnsi="Arial" w:hint="default"/>
      </w:rPr>
    </w:lvl>
    <w:lvl w:ilvl="8" w:tplc="135E774C" w:tentative="1">
      <w:start w:val="1"/>
      <w:numFmt w:val="bullet"/>
      <w:lvlText w:val="–"/>
      <w:lvlJc w:val="left"/>
      <w:pPr>
        <w:tabs>
          <w:tab w:val="num" w:pos="6480"/>
        </w:tabs>
        <w:ind w:left="6480" w:hanging="360"/>
      </w:pPr>
      <w:rPr>
        <w:rFonts w:ascii="Arial" w:hAnsi="Arial" w:hint="default"/>
      </w:rPr>
    </w:lvl>
  </w:abstractNum>
  <w:abstractNum w:abstractNumId="33">
    <w:nsid w:val="755B6826"/>
    <w:multiLevelType w:val="hybridMultilevel"/>
    <w:tmpl w:val="9FBA0AA8"/>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B653D8"/>
    <w:multiLevelType w:val="hybridMultilevel"/>
    <w:tmpl w:val="0D803DFC"/>
    <w:lvl w:ilvl="0" w:tplc="DF02C9C6">
      <w:start w:val="1"/>
      <w:numFmt w:val="bullet"/>
      <w:lvlText w:val=""/>
      <w:lvlJc w:val="left"/>
      <w:pPr>
        <w:ind w:left="720" w:hanging="360"/>
      </w:pPr>
      <w:rPr>
        <w:rFonts w:ascii="Wingdings" w:hAnsi="Wingdings" w:hint="default"/>
        <w:color w:val="auto"/>
      </w:rPr>
    </w:lvl>
    <w:lvl w:ilvl="1" w:tplc="3F76F528">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33"/>
  </w:num>
  <w:num w:numId="5">
    <w:abstractNumId w:val="12"/>
  </w:num>
  <w:num w:numId="6">
    <w:abstractNumId w:val="6"/>
  </w:num>
  <w:num w:numId="7">
    <w:abstractNumId w:val="9"/>
  </w:num>
  <w:num w:numId="8">
    <w:abstractNumId w:val="22"/>
  </w:num>
  <w:num w:numId="9">
    <w:abstractNumId w:val="8"/>
  </w:num>
  <w:num w:numId="10">
    <w:abstractNumId w:val="25"/>
  </w:num>
  <w:num w:numId="11">
    <w:abstractNumId w:val="30"/>
  </w:num>
  <w:num w:numId="12">
    <w:abstractNumId w:val="17"/>
  </w:num>
  <w:num w:numId="13">
    <w:abstractNumId w:val="29"/>
  </w:num>
  <w:num w:numId="14">
    <w:abstractNumId w:val="18"/>
  </w:num>
  <w:num w:numId="15">
    <w:abstractNumId w:val="24"/>
  </w:num>
  <w:num w:numId="16">
    <w:abstractNumId w:val="20"/>
  </w:num>
  <w:num w:numId="17">
    <w:abstractNumId w:val="34"/>
  </w:num>
  <w:num w:numId="18">
    <w:abstractNumId w:val="23"/>
  </w:num>
  <w:num w:numId="19">
    <w:abstractNumId w:val="13"/>
  </w:num>
  <w:num w:numId="20">
    <w:abstractNumId w:val="0"/>
  </w:num>
  <w:num w:numId="21">
    <w:abstractNumId w:val="15"/>
  </w:num>
  <w:num w:numId="22">
    <w:abstractNumId w:val="2"/>
  </w:num>
  <w:num w:numId="23">
    <w:abstractNumId w:val="16"/>
  </w:num>
  <w:num w:numId="24">
    <w:abstractNumId w:val="19"/>
  </w:num>
  <w:num w:numId="25">
    <w:abstractNumId w:val="7"/>
  </w:num>
  <w:num w:numId="26">
    <w:abstractNumId w:val="11"/>
  </w:num>
  <w:num w:numId="27">
    <w:abstractNumId w:val="26"/>
  </w:num>
  <w:num w:numId="28">
    <w:abstractNumId w:val="3"/>
  </w:num>
  <w:num w:numId="29">
    <w:abstractNumId w:val="21"/>
  </w:num>
  <w:num w:numId="30">
    <w:abstractNumId w:val="1"/>
  </w:num>
  <w:num w:numId="31">
    <w:abstractNumId w:val="27"/>
  </w:num>
  <w:num w:numId="32">
    <w:abstractNumId w:val="14"/>
  </w:num>
  <w:num w:numId="33">
    <w:abstractNumId w:val="32"/>
  </w:num>
  <w:num w:numId="34">
    <w:abstractNumId w:val="31"/>
  </w:num>
  <w:num w:numId="35">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DA8"/>
    <w:rsid w:val="000032D9"/>
    <w:rsid w:val="00020451"/>
    <w:rsid w:val="000303A0"/>
    <w:rsid w:val="000349F8"/>
    <w:rsid w:val="00034B70"/>
    <w:rsid w:val="000714A8"/>
    <w:rsid w:val="00072D56"/>
    <w:rsid w:val="000802DC"/>
    <w:rsid w:val="000806A0"/>
    <w:rsid w:val="00095DC9"/>
    <w:rsid w:val="000B15D6"/>
    <w:rsid w:val="000B234C"/>
    <w:rsid w:val="000B4EEA"/>
    <w:rsid w:val="000D5DAD"/>
    <w:rsid w:val="000D65EC"/>
    <w:rsid w:val="000F4AD6"/>
    <w:rsid w:val="000F55F4"/>
    <w:rsid w:val="000F5B8D"/>
    <w:rsid w:val="001133B5"/>
    <w:rsid w:val="00114F63"/>
    <w:rsid w:val="001166F4"/>
    <w:rsid w:val="0011776E"/>
    <w:rsid w:val="00117D35"/>
    <w:rsid w:val="00122398"/>
    <w:rsid w:val="00127B3A"/>
    <w:rsid w:val="001444E5"/>
    <w:rsid w:val="0015194A"/>
    <w:rsid w:val="00154452"/>
    <w:rsid w:val="001552D6"/>
    <w:rsid w:val="001855FD"/>
    <w:rsid w:val="001856FC"/>
    <w:rsid w:val="00194A93"/>
    <w:rsid w:val="00195024"/>
    <w:rsid w:val="00197758"/>
    <w:rsid w:val="001A0A1F"/>
    <w:rsid w:val="001A1CB3"/>
    <w:rsid w:val="001A20F2"/>
    <w:rsid w:val="001A2C60"/>
    <w:rsid w:val="001A5F84"/>
    <w:rsid w:val="001C4497"/>
    <w:rsid w:val="001C4914"/>
    <w:rsid w:val="001C65FA"/>
    <w:rsid w:val="001D2A4F"/>
    <w:rsid w:val="001E4945"/>
    <w:rsid w:val="001F2257"/>
    <w:rsid w:val="001F3A9F"/>
    <w:rsid w:val="002211AA"/>
    <w:rsid w:val="0023042F"/>
    <w:rsid w:val="00241F35"/>
    <w:rsid w:val="00253692"/>
    <w:rsid w:val="00260873"/>
    <w:rsid w:val="00265C5A"/>
    <w:rsid w:val="00270C66"/>
    <w:rsid w:val="00282B95"/>
    <w:rsid w:val="00286A1F"/>
    <w:rsid w:val="00291DB2"/>
    <w:rsid w:val="00297CD9"/>
    <w:rsid w:val="002A0B5F"/>
    <w:rsid w:val="002A7433"/>
    <w:rsid w:val="002B41DB"/>
    <w:rsid w:val="002C1981"/>
    <w:rsid w:val="002C426A"/>
    <w:rsid w:val="002D287C"/>
    <w:rsid w:val="002D768D"/>
    <w:rsid w:val="002E3BDB"/>
    <w:rsid w:val="002E4D1E"/>
    <w:rsid w:val="002E7BE4"/>
    <w:rsid w:val="002F065B"/>
    <w:rsid w:val="002F5598"/>
    <w:rsid w:val="002F636D"/>
    <w:rsid w:val="00301156"/>
    <w:rsid w:val="00304796"/>
    <w:rsid w:val="0030572E"/>
    <w:rsid w:val="003057DA"/>
    <w:rsid w:val="00307BD3"/>
    <w:rsid w:val="00311FD2"/>
    <w:rsid w:val="0031324E"/>
    <w:rsid w:val="003167B1"/>
    <w:rsid w:val="0033604B"/>
    <w:rsid w:val="00343623"/>
    <w:rsid w:val="00343E1B"/>
    <w:rsid w:val="00347BB8"/>
    <w:rsid w:val="0035139B"/>
    <w:rsid w:val="003533D5"/>
    <w:rsid w:val="003743DD"/>
    <w:rsid w:val="00375054"/>
    <w:rsid w:val="00375E4F"/>
    <w:rsid w:val="003853F9"/>
    <w:rsid w:val="003A5185"/>
    <w:rsid w:val="003B308A"/>
    <w:rsid w:val="003B66FB"/>
    <w:rsid w:val="003B7EAA"/>
    <w:rsid w:val="003C2ED2"/>
    <w:rsid w:val="003C5985"/>
    <w:rsid w:val="003D60A4"/>
    <w:rsid w:val="003D6542"/>
    <w:rsid w:val="003F3233"/>
    <w:rsid w:val="00403A9A"/>
    <w:rsid w:val="00406107"/>
    <w:rsid w:val="00410D92"/>
    <w:rsid w:val="0041133F"/>
    <w:rsid w:val="00411981"/>
    <w:rsid w:val="00414687"/>
    <w:rsid w:val="00416216"/>
    <w:rsid w:val="0043251E"/>
    <w:rsid w:val="0044391F"/>
    <w:rsid w:val="00456AF3"/>
    <w:rsid w:val="00473C76"/>
    <w:rsid w:val="00475896"/>
    <w:rsid w:val="004760C9"/>
    <w:rsid w:val="00484787"/>
    <w:rsid w:val="00492C12"/>
    <w:rsid w:val="0049399E"/>
    <w:rsid w:val="004960CB"/>
    <w:rsid w:val="00496326"/>
    <w:rsid w:val="004A0F93"/>
    <w:rsid w:val="004A1469"/>
    <w:rsid w:val="004A2A60"/>
    <w:rsid w:val="004A2DEB"/>
    <w:rsid w:val="004A4C94"/>
    <w:rsid w:val="004B07F5"/>
    <w:rsid w:val="004C0183"/>
    <w:rsid w:val="004D58BB"/>
    <w:rsid w:val="004E40F6"/>
    <w:rsid w:val="004E7A45"/>
    <w:rsid w:val="004F0151"/>
    <w:rsid w:val="004F0A1D"/>
    <w:rsid w:val="004F1136"/>
    <w:rsid w:val="004F1B60"/>
    <w:rsid w:val="00504A80"/>
    <w:rsid w:val="005063B6"/>
    <w:rsid w:val="00513DC8"/>
    <w:rsid w:val="00515AD7"/>
    <w:rsid w:val="0052050C"/>
    <w:rsid w:val="00524BE4"/>
    <w:rsid w:val="005322A2"/>
    <w:rsid w:val="005421BC"/>
    <w:rsid w:val="0054349E"/>
    <w:rsid w:val="0057681C"/>
    <w:rsid w:val="00582684"/>
    <w:rsid w:val="00583045"/>
    <w:rsid w:val="00587F56"/>
    <w:rsid w:val="0059119F"/>
    <w:rsid w:val="005A07D0"/>
    <w:rsid w:val="005A6C52"/>
    <w:rsid w:val="005B0315"/>
    <w:rsid w:val="005B65A8"/>
    <w:rsid w:val="005B7979"/>
    <w:rsid w:val="005C356A"/>
    <w:rsid w:val="005D39EF"/>
    <w:rsid w:val="005D655D"/>
    <w:rsid w:val="005E1B19"/>
    <w:rsid w:val="006161AC"/>
    <w:rsid w:val="006272BD"/>
    <w:rsid w:val="006349E2"/>
    <w:rsid w:val="00645EDE"/>
    <w:rsid w:val="00647229"/>
    <w:rsid w:val="006571FF"/>
    <w:rsid w:val="00664951"/>
    <w:rsid w:val="0067588A"/>
    <w:rsid w:val="00676351"/>
    <w:rsid w:val="00690E63"/>
    <w:rsid w:val="00697D98"/>
    <w:rsid w:val="006A4384"/>
    <w:rsid w:val="006B016A"/>
    <w:rsid w:val="006B61EC"/>
    <w:rsid w:val="006E2032"/>
    <w:rsid w:val="006E4525"/>
    <w:rsid w:val="006F2B1A"/>
    <w:rsid w:val="00713477"/>
    <w:rsid w:val="00715F4A"/>
    <w:rsid w:val="00722855"/>
    <w:rsid w:val="007317E8"/>
    <w:rsid w:val="00736281"/>
    <w:rsid w:val="00746043"/>
    <w:rsid w:val="007509FF"/>
    <w:rsid w:val="007541C8"/>
    <w:rsid w:val="00757C92"/>
    <w:rsid w:val="007601CB"/>
    <w:rsid w:val="007657BE"/>
    <w:rsid w:val="00772F57"/>
    <w:rsid w:val="00775FDF"/>
    <w:rsid w:val="007821BE"/>
    <w:rsid w:val="0078424D"/>
    <w:rsid w:val="0079378F"/>
    <w:rsid w:val="00794CD7"/>
    <w:rsid w:val="00797581"/>
    <w:rsid w:val="007A412C"/>
    <w:rsid w:val="007A42BE"/>
    <w:rsid w:val="007A4909"/>
    <w:rsid w:val="007A607E"/>
    <w:rsid w:val="007B715C"/>
    <w:rsid w:val="007D11CF"/>
    <w:rsid w:val="007D1D0F"/>
    <w:rsid w:val="007D350A"/>
    <w:rsid w:val="007E19EB"/>
    <w:rsid w:val="007E27DE"/>
    <w:rsid w:val="007E416F"/>
    <w:rsid w:val="007E44BA"/>
    <w:rsid w:val="007F0150"/>
    <w:rsid w:val="007F27BA"/>
    <w:rsid w:val="007F4EEA"/>
    <w:rsid w:val="00804B51"/>
    <w:rsid w:val="00810B11"/>
    <w:rsid w:val="008138A0"/>
    <w:rsid w:val="00814A9C"/>
    <w:rsid w:val="008210E7"/>
    <w:rsid w:val="008218F3"/>
    <w:rsid w:val="00827F42"/>
    <w:rsid w:val="00846BF1"/>
    <w:rsid w:val="00852626"/>
    <w:rsid w:val="00852B00"/>
    <w:rsid w:val="0085459E"/>
    <w:rsid w:val="00873E99"/>
    <w:rsid w:val="00874B1F"/>
    <w:rsid w:val="008B05B5"/>
    <w:rsid w:val="008B583D"/>
    <w:rsid w:val="008C3DB3"/>
    <w:rsid w:val="008D2D33"/>
    <w:rsid w:val="008E0BBC"/>
    <w:rsid w:val="008F6B4A"/>
    <w:rsid w:val="008F6E75"/>
    <w:rsid w:val="009001D5"/>
    <w:rsid w:val="00901656"/>
    <w:rsid w:val="0090332B"/>
    <w:rsid w:val="009131DF"/>
    <w:rsid w:val="009178EE"/>
    <w:rsid w:val="00922A48"/>
    <w:rsid w:val="00925075"/>
    <w:rsid w:val="00930698"/>
    <w:rsid w:val="009407AF"/>
    <w:rsid w:val="00951F86"/>
    <w:rsid w:val="00954A0C"/>
    <w:rsid w:val="00960508"/>
    <w:rsid w:val="009620D5"/>
    <w:rsid w:val="0097748D"/>
    <w:rsid w:val="00995BA8"/>
    <w:rsid w:val="00997453"/>
    <w:rsid w:val="009A5A2F"/>
    <w:rsid w:val="009A706B"/>
    <w:rsid w:val="009B202D"/>
    <w:rsid w:val="009B5282"/>
    <w:rsid w:val="009D5CFB"/>
    <w:rsid w:val="009E20BF"/>
    <w:rsid w:val="009E40C1"/>
    <w:rsid w:val="009F1147"/>
    <w:rsid w:val="009F384C"/>
    <w:rsid w:val="009F444B"/>
    <w:rsid w:val="009F7904"/>
    <w:rsid w:val="00A0383C"/>
    <w:rsid w:val="00A03BE7"/>
    <w:rsid w:val="00A31F47"/>
    <w:rsid w:val="00A329BA"/>
    <w:rsid w:val="00A45518"/>
    <w:rsid w:val="00A50800"/>
    <w:rsid w:val="00A51599"/>
    <w:rsid w:val="00A7096F"/>
    <w:rsid w:val="00A77751"/>
    <w:rsid w:val="00A81EF2"/>
    <w:rsid w:val="00A87FC1"/>
    <w:rsid w:val="00A90C56"/>
    <w:rsid w:val="00A922E0"/>
    <w:rsid w:val="00AA6B46"/>
    <w:rsid w:val="00AB1E29"/>
    <w:rsid w:val="00AB2743"/>
    <w:rsid w:val="00AB2A67"/>
    <w:rsid w:val="00AB31D4"/>
    <w:rsid w:val="00AC1C76"/>
    <w:rsid w:val="00AC2A6A"/>
    <w:rsid w:val="00AC5EFB"/>
    <w:rsid w:val="00AC7DE7"/>
    <w:rsid w:val="00AD4269"/>
    <w:rsid w:val="00AE1EA1"/>
    <w:rsid w:val="00AE2514"/>
    <w:rsid w:val="00AF3711"/>
    <w:rsid w:val="00B05BDD"/>
    <w:rsid w:val="00B14E02"/>
    <w:rsid w:val="00B16248"/>
    <w:rsid w:val="00B16E8C"/>
    <w:rsid w:val="00B22B96"/>
    <w:rsid w:val="00B26174"/>
    <w:rsid w:val="00B40142"/>
    <w:rsid w:val="00B402E7"/>
    <w:rsid w:val="00B42BD2"/>
    <w:rsid w:val="00B46CF6"/>
    <w:rsid w:val="00B5624B"/>
    <w:rsid w:val="00B66F60"/>
    <w:rsid w:val="00B72F96"/>
    <w:rsid w:val="00B77DA8"/>
    <w:rsid w:val="00B82045"/>
    <w:rsid w:val="00B8593A"/>
    <w:rsid w:val="00B94CA7"/>
    <w:rsid w:val="00B97CAF"/>
    <w:rsid w:val="00BA70C5"/>
    <w:rsid w:val="00BB5E6E"/>
    <w:rsid w:val="00BC0173"/>
    <w:rsid w:val="00BD28D4"/>
    <w:rsid w:val="00BD2D36"/>
    <w:rsid w:val="00BE31D8"/>
    <w:rsid w:val="00BE4A77"/>
    <w:rsid w:val="00BE4D63"/>
    <w:rsid w:val="00BE5A80"/>
    <w:rsid w:val="00BF1308"/>
    <w:rsid w:val="00BF5C0A"/>
    <w:rsid w:val="00C04DA9"/>
    <w:rsid w:val="00C0706C"/>
    <w:rsid w:val="00C139F9"/>
    <w:rsid w:val="00C17374"/>
    <w:rsid w:val="00C222B5"/>
    <w:rsid w:val="00C50C36"/>
    <w:rsid w:val="00C533CE"/>
    <w:rsid w:val="00C53496"/>
    <w:rsid w:val="00C5607E"/>
    <w:rsid w:val="00C70FC9"/>
    <w:rsid w:val="00C86FDC"/>
    <w:rsid w:val="00C91E15"/>
    <w:rsid w:val="00C91F32"/>
    <w:rsid w:val="00C97778"/>
    <w:rsid w:val="00C97E17"/>
    <w:rsid w:val="00CA3FF1"/>
    <w:rsid w:val="00CA7179"/>
    <w:rsid w:val="00CB5279"/>
    <w:rsid w:val="00CD7428"/>
    <w:rsid w:val="00CE4BCE"/>
    <w:rsid w:val="00CF1419"/>
    <w:rsid w:val="00CF2C26"/>
    <w:rsid w:val="00D01B49"/>
    <w:rsid w:val="00D13D95"/>
    <w:rsid w:val="00D14845"/>
    <w:rsid w:val="00D219C1"/>
    <w:rsid w:val="00D22777"/>
    <w:rsid w:val="00D2344A"/>
    <w:rsid w:val="00D2483C"/>
    <w:rsid w:val="00D27F65"/>
    <w:rsid w:val="00D34E8C"/>
    <w:rsid w:val="00D42BAB"/>
    <w:rsid w:val="00D44EB9"/>
    <w:rsid w:val="00D644B9"/>
    <w:rsid w:val="00D6553A"/>
    <w:rsid w:val="00D6614F"/>
    <w:rsid w:val="00D76291"/>
    <w:rsid w:val="00D80F4A"/>
    <w:rsid w:val="00D86602"/>
    <w:rsid w:val="00D87D59"/>
    <w:rsid w:val="00D93DC5"/>
    <w:rsid w:val="00DA0200"/>
    <w:rsid w:val="00DB790F"/>
    <w:rsid w:val="00DC0526"/>
    <w:rsid w:val="00DC5076"/>
    <w:rsid w:val="00DD0AE7"/>
    <w:rsid w:val="00DD1E3D"/>
    <w:rsid w:val="00DE476E"/>
    <w:rsid w:val="00DF0066"/>
    <w:rsid w:val="00DF242C"/>
    <w:rsid w:val="00DF4F56"/>
    <w:rsid w:val="00E0359C"/>
    <w:rsid w:val="00E037A9"/>
    <w:rsid w:val="00E068FE"/>
    <w:rsid w:val="00E10BE7"/>
    <w:rsid w:val="00E11BE6"/>
    <w:rsid w:val="00E25520"/>
    <w:rsid w:val="00E31E9A"/>
    <w:rsid w:val="00E328BB"/>
    <w:rsid w:val="00E41CDF"/>
    <w:rsid w:val="00E669E3"/>
    <w:rsid w:val="00E81F75"/>
    <w:rsid w:val="00E8223C"/>
    <w:rsid w:val="00E84A2C"/>
    <w:rsid w:val="00EA543A"/>
    <w:rsid w:val="00EA5D77"/>
    <w:rsid w:val="00EB0BEC"/>
    <w:rsid w:val="00EB3CA9"/>
    <w:rsid w:val="00EC0447"/>
    <w:rsid w:val="00EC34F5"/>
    <w:rsid w:val="00ED61BB"/>
    <w:rsid w:val="00ED6968"/>
    <w:rsid w:val="00EF6823"/>
    <w:rsid w:val="00EF7411"/>
    <w:rsid w:val="00F14672"/>
    <w:rsid w:val="00F20CB3"/>
    <w:rsid w:val="00F260C1"/>
    <w:rsid w:val="00F50753"/>
    <w:rsid w:val="00F5377B"/>
    <w:rsid w:val="00F54254"/>
    <w:rsid w:val="00F664B1"/>
    <w:rsid w:val="00F75959"/>
    <w:rsid w:val="00F760D8"/>
    <w:rsid w:val="00F84D46"/>
    <w:rsid w:val="00FA1BF4"/>
    <w:rsid w:val="00FB4BE5"/>
    <w:rsid w:val="00FB7335"/>
    <w:rsid w:val="00FC0138"/>
    <w:rsid w:val="00FC1D23"/>
    <w:rsid w:val="00FC6D9C"/>
    <w:rsid w:val="00FD39CF"/>
    <w:rsid w:val="00FF217F"/>
    <w:rsid w:val="00FF6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B1A"/>
  </w:style>
  <w:style w:type="paragraph" w:styleId="Footer">
    <w:name w:val="footer"/>
    <w:basedOn w:val="Normal"/>
    <w:link w:val="FooterChar"/>
    <w:uiPriority w:val="99"/>
    <w:unhideWhenUsed/>
    <w:rsid w:val="006F2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B1A"/>
  </w:style>
  <w:style w:type="paragraph" w:styleId="BalloonText">
    <w:name w:val="Balloon Text"/>
    <w:basedOn w:val="Normal"/>
    <w:link w:val="BalloonTextChar"/>
    <w:uiPriority w:val="99"/>
    <w:semiHidden/>
    <w:unhideWhenUsed/>
    <w:rsid w:val="0074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043"/>
    <w:rPr>
      <w:rFonts w:ascii="Tahoma" w:hAnsi="Tahoma" w:cs="Tahoma"/>
      <w:sz w:val="16"/>
      <w:szCs w:val="16"/>
    </w:rPr>
  </w:style>
  <w:style w:type="paragraph" w:styleId="ListParagraph">
    <w:name w:val="List Paragraph"/>
    <w:basedOn w:val="Normal"/>
    <w:uiPriority w:val="34"/>
    <w:qFormat/>
    <w:rsid w:val="001A1CB3"/>
    <w:pPr>
      <w:ind w:left="720"/>
      <w:contextualSpacing/>
    </w:pPr>
  </w:style>
  <w:style w:type="paragraph" w:styleId="EndnoteText">
    <w:name w:val="endnote text"/>
    <w:basedOn w:val="Normal"/>
    <w:link w:val="EndnoteTextChar"/>
    <w:uiPriority w:val="99"/>
    <w:unhideWhenUsed/>
    <w:rsid w:val="004F1136"/>
    <w:pPr>
      <w:spacing w:after="0" w:line="240" w:lineRule="auto"/>
    </w:pPr>
    <w:rPr>
      <w:sz w:val="20"/>
      <w:szCs w:val="20"/>
    </w:rPr>
  </w:style>
  <w:style w:type="character" w:customStyle="1" w:styleId="EndnoteTextChar">
    <w:name w:val="Endnote Text Char"/>
    <w:basedOn w:val="DefaultParagraphFont"/>
    <w:link w:val="EndnoteText"/>
    <w:uiPriority w:val="99"/>
    <w:rsid w:val="004F1136"/>
    <w:rPr>
      <w:sz w:val="20"/>
      <w:szCs w:val="20"/>
    </w:rPr>
  </w:style>
  <w:style w:type="character" w:styleId="EndnoteReference">
    <w:name w:val="endnote reference"/>
    <w:basedOn w:val="DefaultParagraphFont"/>
    <w:uiPriority w:val="99"/>
    <w:semiHidden/>
    <w:unhideWhenUsed/>
    <w:rsid w:val="004F1136"/>
    <w:rPr>
      <w:vertAlign w:val="superscript"/>
    </w:rPr>
  </w:style>
  <w:style w:type="character" w:styleId="CommentReference">
    <w:name w:val="annotation reference"/>
    <w:basedOn w:val="DefaultParagraphFont"/>
    <w:uiPriority w:val="99"/>
    <w:semiHidden/>
    <w:unhideWhenUsed/>
    <w:rsid w:val="001166F4"/>
    <w:rPr>
      <w:sz w:val="16"/>
      <w:szCs w:val="16"/>
    </w:rPr>
  </w:style>
  <w:style w:type="paragraph" w:styleId="CommentText">
    <w:name w:val="annotation text"/>
    <w:basedOn w:val="Normal"/>
    <w:link w:val="CommentTextChar"/>
    <w:uiPriority w:val="99"/>
    <w:unhideWhenUsed/>
    <w:rsid w:val="001166F4"/>
    <w:pPr>
      <w:spacing w:line="240" w:lineRule="auto"/>
    </w:pPr>
    <w:rPr>
      <w:sz w:val="20"/>
      <w:szCs w:val="20"/>
    </w:rPr>
  </w:style>
  <w:style w:type="character" w:customStyle="1" w:styleId="CommentTextChar">
    <w:name w:val="Comment Text Char"/>
    <w:basedOn w:val="DefaultParagraphFont"/>
    <w:link w:val="CommentText"/>
    <w:uiPriority w:val="99"/>
    <w:rsid w:val="001166F4"/>
    <w:rPr>
      <w:sz w:val="20"/>
      <w:szCs w:val="20"/>
    </w:rPr>
  </w:style>
  <w:style w:type="paragraph" w:styleId="CommentSubject">
    <w:name w:val="annotation subject"/>
    <w:basedOn w:val="CommentText"/>
    <w:next w:val="CommentText"/>
    <w:link w:val="CommentSubjectChar"/>
    <w:uiPriority w:val="99"/>
    <w:semiHidden/>
    <w:unhideWhenUsed/>
    <w:rsid w:val="001166F4"/>
    <w:rPr>
      <w:b/>
      <w:bCs/>
    </w:rPr>
  </w:style>
  <w:style w:type="character" w:customStyle="1" w:styleId="CommentSubjectChar">
    <w:name w:val="Comment Subject Char"/>
    <w:basedOn w:val="CommentTextChar"/>
    <w:link w:val="CommentSubject"/>
    <w:uiPriority w:val="99"/>
    <w:semiHidden/>
    <w:rsid w:val="001166F4"/>
    <w:rPr>
      <w:b/>
      <w:bCs/>
      <w:sz w:val="20"/>
      <w:szCs w:val="20"/>
    </w:rPr>
  </w:style>
  <w:style w:type="character" w:styleId="Hyperlink">
    <w:name w:val="Hyperlink"/>
    <w:basedOn w:val="DefaultParagraphFont"/>
    <w:uiPriority w:val="99"/>
    <w:unhideWhenUsed/>
    <w:rsid w:val="0011776E"/>
    <w:rPr>
      <w:color w:val="0000FF" w:themeColor="hyperlink"/>
      <w:u w:val="single"/>
    </w:rPr>
  </w:style>
  <w:style w:type="paragraph" w:customStyle="1" w:styleId="bodytext">
    <w:name w:val="bodytext"/>
    <w:basedOn w:val="Normal"/>
    <w:rsid w:val="00D227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9119F"/>
  </w:style>
  <w:style w:type="paragraph" w:styleId="NormalWeb">
    <w:name w:val="Normal (Web)"/>
    <w:basedOn w:val="Normal"/>
    <w:uiPriority w:val="99"/>
    <w:unhideWhenUsed/>
    <w:rsid w:val="004A0F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A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23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44A"/>
    <w:rPr>
      <w:sz w:val="20"/>
      <w:szCs w:val="20"/>
    </w:rPr>
  </w:style>
  <w:style w:type="character" w:styleId="FootnoteReference">
    <w:name w:val="footnote reference"/>
    <w:basedOn w:val="DefaultParagraphFont"/>
    <w:uiPriority w:val="99"/>
    <w:semiHidden/>
    <w:unhideWhenUsed/>
    <w:rsid w:val="00D2344A"/>
    <w:rPr>
      <w:vertAlign w:val="superscript"/>
    </w:rPr>
  </w:style>
  <w:style w:type="character" w:styleId="FollowedHyperlink">
    <w:name w:val="FollowedHyperlink"/>
    <w:basedOn w:val="DefaultParagraphFont"/>
    <w:uiPriority w:val="99"/>
    <w:semiHidden/>
    <w:unhideWhenUsed/>
    <w:rsid w:val="007A42BE"/>
    <w:rPr>
      <w:color w:val="800080" w:themeColor="followedHyperlink"/>
      <w:u w:val="single"/>
    </w:rPr>
  </w:style>
  <w:style w:type="paragraph" w:styleId="Revision">
    <w:name w:val="Revision"/>
    <w:hidden/>
    <w:uiPriority w:val="99"/>
    <w:semiHidden/>
    <w:rsid w:val="000D5DAD"/>
    <w:pPr>
      <w:spacing w:after="0" w:line="240" w:lineRule="auto"/>
    </w:pPr>
  </w:style>
  <w:style w:type="paragraph" w:customStyle="1" w:styleId="Default">
    <w:name w:val="Default"/>
    <w:rsid w:val="00375E4F"/>
    <w:pPr>
      <w:autoSpaceDE w:val="0"/>
      <w:autoSpaceDN w:val="0"/>
      <w:adjustRightInd w:val="0"/>
      <w:spacing w:after="0" w:line="240" w:lineRule="auto"/>
    </w:pPr>
    <w:rPr>
      <w:rFonts w:ascii="Arial" w:hAnsi="Arial" w:cs="Arial"/>
      <w:color w:val="000000"/>
      <w:sz w:val="24"/>
      <w:szCs w:val="24"/>
    </w:rPr>
  </w:style>
  <w:style w:type="paragraph" w:customStyle="1" w:styleId="CM5">
    <w:name w:val="CM5"/>
    <w:basedOn w:val="Default"/>
    <w:next w:val="Default"/>
    <w:uiPriority w:val="99"/>
    <w:rsid w:val="00375E4F"/>
    <w:pPr>
      <w:spacing w:line="253"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B1A"/>
  </w:style>
  <w:style w:type="paragraph" w:styleId="Footer">
    <w:name w:val="footer"/>
    <w:basedOn w:val="Normal"/>
    <w:link w:val="FooterChar"/>
    <w:uiPriority w:val="99"/>
    <w:unhideWhenUsed/>
    <w:rsid w:val="006F2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B1A"/>
  </w:style>
  <w:style w:type="paragraph" w:styleId="BalloonText">
    <w:name w:val="Balloon Text"/>
    <w:basedOn w:val="Normal"/>
    <w:link w:val="BalloonTextChar"/>
    <w:uiPriority w:val="99"/>
    <w:semiHidden/>
    <w:unhideWhenUsed/>
    <w:rsid w:val="0074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043"/>
    <w:rPr>
      <w:rFonts w:ascii="Tahoma" w:hAnsi="Tahoma" w:cs="Tahoma"/>
      <w:sz w:val="16"/>
      <w:szCs w:val="16"/>
    </w:rPr>
  </w:style>
  <w:style w:type="paragraph" w:styleId="ListParagraph">
    <w:name w:val="List Paragraph"/>
    <w:basedOn w:val="Normal"/>
    <w:uiPriority w:val="34"/>
    <w:qFormat/>
    <w:rsid w:val="001A1CB3"/>
    <w:pPr>
      <w:ind w:left="720"/>
      <w:contextualSpacing/>
    </w:pPr>
  </w:style>
  <w:style w:type="paragraph" w:styleId="EndnoteText">
    <w:name w:val="endnote text"/>
    <w:basedOn w:val="Normal"/>
    <w:link w:val="EndnoteTextChar"/>
    <w:uiPriority w:val="99"/>
    <w:unhideWhenUsed/>
    <w:rsid w:val="004F1136"/>
    <w:pPr>
      <w:spacing w:after="0" w:line="240" w:lineRule="auto"/>
    </w:pPr>
    <w:rPr>
      <w:sz w:val="20"/>
      <w:szCs w:val="20"/>
    </w:rPr>
  </w:style>
  <w:style w:type="character" w:customStyle="1" w:styleId="EndnoteTextChar">
    <w:name w:val="Endnote Text Char"/>
    <w:basedOn w:val="DefaultParagraphFont"/>
    <w:link w:val="EndnoteText"/>
    <w:uiPriority w:val="99"/>
    <w:rsid w:val="004F1136"/>
    <w:rPr>
      <w:sz w:val="20"/>
      <w:szCs w:val="20"/>
    </w:rPr>
  </w:style>
  <w:style w:type="character" w:styleId="EndnoteReference">
    <w:name w:val="endnote reference"/>
    <w:basedOn w:val="DefaultParagraphFont"/>
    <w:uiPriority w:val="99"/>
    <w:semiHidden/>
    <w:unhideWhenUsed/>
    <w:rsid w:val="004F1136"/>
    <w:rPr>
      <w:vertAlign w:val="superscript"/>
    </w:rPr>
  </w:style>
  <w:style w:type="character" w:styleId="CommentReference">
    <w:name w:val="annotation reference"/>
    <w:basedOn w:val="DefaultParagraphFont"/>
    <w:uiPriority w:val="99"/>
    <w:semiHidden/>
    <w:unhideWhenUsed/>
    <w:rsid w:val="001166F4"/>
    <w:rPr>
      <w:sz w:val="16"/>
      <w:szCs w:val="16"/>
    </w:rPr>
  </w:style>
  <w:style w:type="paragraph" w:styleId="CommentText">
    <w:name w:val="annotation text"/>
    <w:basedOn w:val="Normal"/>
    <w:link w:val="CommentTextChar"/>
    <w:uiPriority w:val="99"/>
    <w:unhideWhenUsed/>
    <w:rsid w:val="001166F4"/>
    <w:pPr>
      <w:spacing w:line="240" w:lineRule="auto"/>
    </w:pPr>
    <w:rPr>
      <w:sz w:val="20"/>
      <w:szCs w:val="20"/>
    </w:rPr>
  </w:style>
  <w:style w:type="character" w:customStyle="1" w:styleId="CommentTextChar">
    <w:name w:val="Comment Text Char"/>
    <w:basedOn w:val="DefaultParagraphFont"/>
    <w:link w:val="CommentText"/>
    <w:uiPriority w:val="99"/>
    <w:rsid w:val="001166F4"/>
    <w:rPr>
      <w:sz w:val="20"/>
      <w:szCs w:val="20"/>
    </w:rPr>
  </w:style>
  <w:style w:type="paragraph" w:styleId="CommentSubject">
    <w:name w:val="annotation subject"/>
    <w:basedOn w:val="CommentText"/>
    <w:next w:val="CommentText"/>
    <w:link w:val="CommentSubjectChar"/>
    <w:uiPriority w:val="99"/>
    <w:semiHidden/>
    <w:unhideWhenUsed/>
    <w:rsid w:val="001166F4"/>
    <w:rPr>
      <w:b/>
      <w:bCs/>
    </w:rPr>
  </w:style>
  <w:style w:type="character" w:customStyle="1" w:styleId="CommentSubjectChar">
    <w:name w:val="Comment Subject Char"/>
    <w:basedOn w:val="CommentTextChar"/>
    <w:link w:val="CommentSubject"/>
    <w:uiPriority w:val="99"/>
    <w:semiHidden/>
    <w:rsid w:val="001166F4"/>
    <w:rPr>
      <w:b/>
      <w:bCs/>
      <w:sz w:val="20"/>
      <w:szCs w:val="20"/>
    </w:rPr>
  </w:style>
  <w:style w:type="character" w:styleId="Hyperlink">
    <w:name w:val="Hyperlink"/>
    <w:basedOn w:val="DefaultParagraphFont"/>
    <w:uiPriority w:val="99"/>
    <w:unhideWhenUsed/>
    <w:rsid w:val="0011776E"/>
    <w:rPr>
      <w:color w:val="0000FF" w:themeColor="hyperlink"/>
      <w:u w:val="single"/>
    </w:rPr>
  </w:style>
  <w:style w:type="paragraph" w:customStyle="1" w:styleId="bodytext">
    <w:name w:val="bodytext"/>
    <w:basedOn w:val="Normal"/>
    <w:rsid w:val="00D227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9119F"/>
  </w:style>
  <w:style w:type="paragraph" w:styleId="NormalWeb">
    <w:name w:val="Normal (Web)"/>
    <w:basedOn w:val="Normal"/>
    <w:uiPriority w:val="99"/>
    <w:unhideWhenUsed/>
    <w:rsid w:val="004A0F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A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23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44A"/>
    <w:rPr>
      <w:sz w:val="20"/>
      <w:szCs w:val="20"/>
    </w:rPr>
  </w:style>
  <w:style w:type="character" w:styleId="FootnoteReference">
    <w:name w:val="footnote reference"/>
    <w:basedOn w:val="DefaultParagraphFont"/>
    <w:uiPriority w:val="99"/>
    <w:semiHidden/>
    <w:unhideWhenUsed/>
    <w:rsid w:val="00D2344A"/>
    <w:rPr>
      <w:vertAlign w:val="superscript"/>
    </w:rPr>
  </w:style>
  <w:style w:type="character" w:styleId="FollowedHyperlink">
    <w:name w:val="FollowedHyperlink"/>
    <w:basedOn w:val="DefaultParagraphFont"/>
    <w:uiPriority w:val="99"/>
    <w:semiHidden/>
    <w:unhideWhenUsed/>
    <w:rsid w:val="007A42BE"/>
    <w:rPr>
      <w:color w:val="800080" w:themeColor="followedHyperlink"/>
      <w:u w:val="single"/>
    </w:rPr>
  </w:style>
  <w:style w:type="paragraph" w:styleId="Revision">
    <w:name w:val="Revision"/>
    <w:hidden/>
    <w:uiPriority w:val="99"/>
    <w:semiHidden/>
    <w:rsid w:val="000D5DAD"/>
    <w:pPr>
      <w:spacing w:after="0" w:line="240" w:lineRule="auto"/>
    </w:pPr>
  </w:style>
  <w:style w:type="paragraph" w:customStyle="1" w:styleId="Default">
    <w:name w:val="Default"/>
    <w:rsid w:val="00375E4F"/>
    <w:pPr>
      <w:autoSpaceDE w:val="0"/>
      <w:autoSpaceDN w:val="0"/>
      <w:adjustRightInd w:val="0"/>
      <w:spacing w:after="0" w:line="240" w:lineRule="auto"/>
    </w:pPr>
    <w:rPr>
      <w:rFonts w:ascii="Arial" w:hAnsi="Arial" w:cs="Arial"/>
      <w:color w:val="000000"/>
      <w:sz w:val="24"/>
      <w:szCs w:val="24"/>
    </w:rPr>
  </w:style>
  <w:style w:type="paragraph" w:customStyle="1" w:styleId="CM5">
    <w:name w:val="CM5"/>
    <w:basedOn w:val="Default"/>
    <w:next w:val="Default"/>
    <w:uiPriority w:val="99"/>
    <w:rsid w:val="00375E4F"/>
    <w:pPr>
      <w:spacing w:line="253"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3408">
      <w:bodyDiv w:val="1"/>
      <w:marLeft w:val="0"/>
      <w:marRight w:val="0"/>
      <w:marTop w:val="0"/>
      <w:marBottom w:val="0"/>
      <w:divBdr>
        <w:top w:val="none" w:sz="0" w:space="0" w:color="auto"/>
        <w:left w:val="none" w:sz="0" w:space="0" w:color="auto"/>
        <w:bottom w:val="none" w:sz="0" w:space="0" w:color="auto"/>
        <w:right w:val="none" w:sz="0" w:space="0" w:color="auto"/>
      </w:divBdr>
      <w:divsChild>
        <w:div w:id="221215338">
          <w:marLeft w:val="0"/>
          <w:marRight w:val="0"/>
          <w:marTop w:val="0"/>
          <w:marBottom w:val="0"/>
          <w:divBdr>
            <w:top w:val="none" w:sz="0" w:space="0" w:color="auto"/>
            <w:left w:val="none" w:sz="0" w:space="0" w:color="auto"/>
            <w:bottom w:val="none" w:sz="0" w:space="0" w:color="auto"/>
            <w:right w:val="none" w:sz="0" w:space="0" w:color="auto"/>
          </w:divBdr>
        </w:div>
      </w:divsChild>
    </w:div>
    <w:div w:id="224099970">
      <w:bodyDiv w:val="1"/>
      <w:marLeft w:val="0"/>
      <w:marRight w:val="0"/>
      <w:marTop w:val="0"/>
      <w:marBottom w:val="0"/>
      <w:divBdr>
        <w:top w:val="none" w:sz="0" w:space="0" w:color="auto"/>
        <w:left w:val="none" w:sz="0" w:space="0" w:color="auto"/>
        <w:bottom w:val="none" w:sz="0" w:space="0" w:color="auto"/>
        <w:right w:val="none" w:sz="0" w:space="0" w:color="auto"/>
      </w:divBdr>
      <w:divsChild>
        <w:div w:id="1206722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572316">
      <w:bodyDiv w:val="1"/>
      <w:marLeft w:val="0"/>
      <w:marRight w:val="0"/>
      <w:marTop w:val="0"/>
      <w:marBottom w:val="0"/>
      <w:divBdr>
        <w:top w:val="none" w:sz="0" w:space="0" w:color="auto"/>
        <w:left w:val="none" w:sz="0" w:space="0" w:color="auto"/>
        <w:bottom w:val="none" w:sz="0" w:space="0" w:color="auto"/>
        <w:right w:val="none" w:sz="0" w:space="0" w:color="auto"/>
      </w:divBdr>
      <w:divsChild>
        <w:div w:id="437412006">
          <w:marLeft w:val="0"/>
          <w:marRight w:val="0"/>
          <w:marTop w:val="0"/>
          <w:marBottom w:val="0"/>
          <w:divBdr>
            <w:top w:val="none" w:sz="0" w:space="0" w:color="auto"/>
            <w:left w:val="none" w:sz="0" w:space="0" w:color="auto"/>
            <w:bottom w:val="none" w:sz="0" w:space="0" w:color="auto"/>
            <w:right w:val="none" w:sz="0" w:space="0" w:color="auto"/>
          </w:divBdr>
        </w:div>
      </w:divsChild>
    </w:div>
    <w:div w:id="277874402">
      <w:bodyDiv w:val="1"/>
      <w:marLeft w:val="0"/>
      <w:marRight w:val="0"/>
      <w:marTop w:val="0"/>
      <w:marBottom w:val="0"/>
      <w:divBdr>
        <w:top w:val="none" w:sz="0" w:space="0" w:color="auto"/>
        <w:left w:val="none" w:sz="0" w:space="0" w:color="auto"/>
        <w:bottom w:val="none" w:sz="0" w:space="0" w:color="auto"/>
        <w:right w:val="none" w:sz="0" w:space="0" w:color="auto"/>
      </w:divBdr>
      <w:divsChild>
        <w:div w:id="990326426">
          <w:marLeft w:val="0"/>
          <w:marRight w:val="0"/>
          <w:marTop w:val="0"/>
          <w:marBottom w:val="0"/>
          <w:divBdr>
            <w:top w:val="none" w:sz="0" w:space="0" w:color="auto"/>
            <w:left w:val="none" w:sz="0" w:space="0" w:color="auto"/>
            <w:bottom w:val="none" w:sz="0" w:space="0" w:color="auto"/>
            <w:right w:val="none" w:sz="0" w:space="0" w:color="auto"/>
          </w:divBdr>
        </w:div>
      </w:divsChild>
    </w:div>
    <w:div w:id="390857322">
      <w:bodyDiv w:val="1"/>
      <w:marLeft w:val="0"/>
      <w:marRight w:val="0"/>
      <w:marTop w:val="0"/>
      <w:marBottom w:val="0"/>
      <w:divBdr>
        <w:top w:val="none" w:sz="0" w:space="0" w:color="auto"/>
        <w:left w:val="none" w:sz="0" w:space="0" w:color="auto"/>
        <w:bottom w:val="none" w:sz="0" w:space="0" w:color="auto"/>
        <w:right w:val="none" w:sz="0" w:space="0" w:color="auto"/>
      </w:divBdr>
    </w:div>
    <w:div w:id="446315859">
      <w:bodyDiv w:val="1"/>
      <w:marLeft w:val="0"/>
      <w:marRight w:val="0"/>
      <w:marTop w:val="0"/>
      <w:marBottom w:val="0"/>
      <w:divBdr>
        <w:top w:val="none" w:sz="0" w:space="0" w:color="auto"/>
        <w:left w:val="none" w:sz="0" w:space="0" w:color="auto"/>
        <w:bottom w:val="none" w:sz="0" w:space="0" w:color="auto"/>
        <w:right w:val="none" w:sz="0" w:space="0" w:color="auto"/>
      </w:divBdr>
    </w:div>
    <w:div w:id="512232932">
      <w:bodyDiv w:val="1"/>
      <w:marLeft w:val="0"/>
      <w:marRight w:val="0"/>
      <w:marTop w:val="0"/>
      <w:marBottom w:val="0"/>
      <w:divBdr>
        <w:top w:val="none" w:sz="0" w:space="0" w:color="auto"/>
        <w:left w:val="none" w:sz="0" w:space="0" w:color="auto"/>
        <w:bottom w:val="none" w:sz="0" w:space="0" w:color="auto"/>
        <w:right w:val="none" w:sz="0" w:space="0" w:color="auto"/>
      </w:divBdr>
    </w:div>
    <w:div w:id="540942613">
      <w:bodyDiv w:val="1"/>
      <w:marLeft w:val="0"/>
      <w:marRight w:val="0"/>
      <w:marTop w:val="0"/>
      <w:marBottom w:val="0"/>
      <w:divBdr>
        <w:top w:val="none" w:sz="0" w:space="0" w:color="auto"/>
        <w:left w:val="none" w:sz="0" w:space="0" w:color="auto"/>
        <w:bottom w:val="none" w:sz="0" w:space="0" w:color="auto"/>
        <w:right w:val="none" w:sz="0" w:space="0" w:color="auto"/>
      </w:divBdr>
    </w:div>
    <w:div w:id="624232900">
      <w:bodyDiv w:val="1"/>
      <w:marLeft w:val="0"/>
      <w:marRight w:val="0"/>
      <w:marTop w:val="0"/>
      <w:marBottom w:val="0"/>
      <w:divBdr>
        <w:top w:val="none" w:sz="0" w:space="0" w:color="auto"/>
        <w:left w:val="none" w:sz="0" w:space="0" w:color="auto"/>
        <w:bottom w:val="none" w:sz="0" w:space="0" w:color="auto"/>
        <w:right w:val="none" w:sz="0" w:space="0" w:color="auto"/>
      </w:divBdr>
    </w:div>
    <w:div w:id="733435383">
      <w:bodyDiv w:val="1"/>
      <w:marLeft w:val="0"/>
      <w:marRight w:val="0"/>
      <w:marTop w:val="0"/>
      <w:marBottom w:val="0"/>
      <w:divBdr>
        <w:top w:val="none" w:sz="0" w:space="0" w:color="auto"/>
        <w:left w:val="none" w:sz="0" w:space="0" w:color="auto"/>
        <w:bottom w:val="none" w:sz="0" w:space="0" w:color="auto"/>
        <w:right w:val="none" w:sz="0" w:space="0" w:color="auto"/>
      </w:divBdr>
    </w:div>
    <w:div w:id="738870656">
      <w:bodyDiv w:val="1"/>
      <w:marLeft w:val="0"/>
      <w:marRight w:val="0"/>
      <w:marTop w:val="0"/>
      <w:marBottom w:val="0"/>
      <w:divBdr>
        <w:top w:val="none" w:sz="0" w:space="0" w:color="auto"/>
        <w:left w:val="none" w:sz="0" w:space="0" w:color="auto"/>
        <w:bottom w:val="none" w:sz="0" w:space="0" w:color="auto"/>
        <w:right w:val="none" w:sz="0" w:space="0" w:color="auto"/>
      </w:divBdr>
      <w:divsChild>
        <w:div w:id="1317732376">
          <w:marLeft w:val="0"/>
          <w:marRight w:val="0"/>
          <w:marTop w:val="0"/>
          <w:marBottom w:val="0"/>
          <w:divBdr>
            <w:top w:val="none" w:sz="0" w:space="0" w:color="auto"/>
            <w:left w:val="none" w:sz="0" w:space="0" w:color="auto"/>
            <w:bottom w:val="none" w:sz="0" w:space="0" w:color="auto"/>
            <w:right w:val="none" w:sz="0" w:space="0" w:color="auto"/>
          </w:divBdr>
        </w:div>
      </w:divsChild>
    </w:div>
    <w:div w:id="800540682">
      <w:bodyDiv w:val="1"/>
      <w:marLeft w:val="0"/>
      <w:marRight w:val="0"/>
      <w:marTop w:val="0"/>
      <w:marBottom w:val="0"/>
      <w:divBdr>
        <w:top w:val="none" w:sz="0" w:space="0" w:color="auto"/>
        <w:left w:val="none" w:sz="0" w:space="0" w:color="auto"/>
        <w:bottom w:val="none" w:sz="0" w:space="0" w:color="auto"/>
        <w:right w:val="none" w:sz="0" w:space="0" w:color="auto"/>
      </w:divBdr>
    </w:div>
    <w:div w:id="927229422">
      <w:bodyDiv w:val="1"/>
      <w:marLeft w:val="0"/>
      <w:marRight w:val="0"/>
      <w:marTop w:val="0"/>
      <w:marBottom w:val="0"/>
      <w:divBdr>
        <w:top w:val="none" w:sz="0" w:space="0" w:color="auto"/>
        <w:left w:val="none" w:sz="0" w:space="0" w:color="auto"/>
        <w:bottom w:val="none" w:sz="0" w:space="0" w:color="auto"/>
        <w:right w:val="none" w:sz="0" w:space="0" w:color="auto"/>
      </w:divBdr>
    </w:div>
    <w:div w:id="1069038300">
      <w:bodyDiv w:val="1"/>
      <w:marLeft w:val="0"/>
      <w:marRight w:val="0"/>
      <w:marTop w:val="0"/>
      <w:marBottom w:val="0"/>
      <w:divBdr>
        <w:top w:val="none" w:sz="0" w:space="0" w:color="auto"/>
        <w:left w:val="none" w:sz="0" w:space="0" w:color="auto"/>
        <w:bottom w:val="none" w:sz="0" w:space="0" w:color="auto"/>
        <w:right w:val="none" w:sz="0" w:space="0" w:color="auto"/>
      </w:divBdr>
    </w:div>
    <w:div w:id="1396389066">
      <w:bodyDiv w:val="1"/>
      <w:marLeft w:val="0"/>
      <w:marRight w:val="0"/>
      <w:marTop w:val="0"/>
      <w:marBottom w:val="0"/>
      <w:divBdr>
        <w:top w:val="none" w:sz="0" w:space="0" w:color="auto"/>
        <w:left w:val="none" w:sz="0" w:space="0" w:color="auto"/>
        <w:bottom w:val="none" w:sz="0" w:space="0" w:color="auto"/>
        <w:right w:val="none" w:sz="0" w:space="0" w:color="auto"/>
      </w:divBdr>
    </w:div>
    <w:div w:id="1609896726">
      <w:bodyDiv w:val="1"/>
      <w:marLeft w:val="0"/>
      <w:marRight w:val="0"/>
      <w:marTop w:val="0"/>
      <w:marBottom w:val="0"/>
      <w:divBdr>
        <w:top w:val="none" w:sz="0" w:space="0" w:color="auto"/>
        <w:left w:val="none" w:sz="0" w:space="0" w:color="auto"/>
        <w:bottom w:val="none" w:sz="0" w:space="0" w:color="auto"/>
        <w:right w:val="none" w:sz="0" w:space="0" w:color="auto"/>
      </w:divBdr>
    </w:div>
    <w:div w:id="1757440730">
      <w:bodyDiv w:val="1"/>
      <w:marLeft w:val="0"/>
      <w:marRight w:val="0"/>
      <w:marTop w:val="0"/>
      <w:marBottom w:val="0"/>
      <w:divBdr>
        <w:top w:val="none" w:sz="0" w:space="0" w:color="auto"/>
        <w:left w:val="none" w:sz="0" w:space="0" w:color="auto"/>
        <w:bottom w:val="none" w:sz="0" w:space="0" w:color="auto"/>
        <w:right w:val="none" w:sz="0" w:space="0" w:color="auto"/>
      </w:divBdr>
    </w:div>
    <w:div w:id="1794014644">
      <w:bodyDiv w:val="1"/>
      <w:marLeft w:val="0"/>
      <w:marRight w:val="0"/>
      <w:marTop w:val="0"/>
      <w:marBottom w:val="0"/>
      <w:divBdr>
        <w:top w:val="none" w:sz="0" w:space="0" w:color="auto"/>
        <w:left w:val="none" w:sz="0" w:space="0" w:color="auto"/>
        <w:bottom w:val="none" w:sz="0" w:space="0" w:color="auto"/>
        <w:right w:val="none" w:sz="0" w:space="0" w:color="auto"/>
      </w:divBdr>
      <w:divsChild>
        <w:div w:id="915285619">
          <w:marLeft w:val="1166"/>
          <w:marRight w:val="0"/>
          <w:marTop w:val="240"/>
          <w:marBottom w:val="240"/>
          <w:divBdr>
            <w:top w:val="none" w:sz="0" w:space="0" w:color="auto"/>
            <w:left w:val="none" w:sz="0" w:space="0" w:color="auto"/>
            <w:bottom w:val="none" w:sz="0" w:space="0" w:color="auto"/>
            <w:right w:val="none" w:sz="0" w:space="0" w:color="auto"/>
          </w:divBdr>
        </w:div>
        <w:div w:id="562065495">
          <w:marLeft w:val="1166"/>
          <w:marRight w:val="0"/>
          <w:marTop w:val="240"/>
          <w:marBottom w:val="240"/>
          <w:divBdr>
            <w:top w:val="none" w:sz="0" w:space="0" w:color="auto"/>
            <w:left w:val="none" w:sz="0" w:space="0" w:color="auto"/>
            <w:bottom w:val="none" w:sz="0" w:space="0" w:color="auto"/>
            <w:right w:val="none" w:sz="0" w:space="0" w:color="auto"/>
          </w:divBdr>
        </w:div>
      </w:divsChild>
    </w:div>
    <w:div w:id="1838228211">
      <w:bodyDiv w:val="1"/>
      <w:marLeft w:val="0"/>
      <w:marRight w:val="0"/>
      <w:marTop w:val="0"/>
      <w:marBottom w:val="0"/>
      <w:divBdr>
        <w:top w:val="none" w:sz="0" w:space="0" w:color="auto"/>
        <w:left w:val="none" w:sz="0" w:space="0" w:color="auto"/>
        <w:bottom w:val="none" w:sz="0" w:space="0" w:color="auto"/>
        <w:right w:val="none" w:sz="0" w:space="0" w:color="auto"/>
      </w:divBdr>
    </w:div>
    <w:div w:id="1882865064">
      <w:bodyDiv w:val="1"/>
      <w:marLeft w:val="0"/>
      <w:marRight w:val="0"/>
      <w:marTop w:val="0"/>
      <w:marBottom w:val="0"/>
      <w:divBdr>
        <w:top w:val="none" w:sz="0" w:space="0" w:color="auto"/>
        <w:left w:val="none" w:sz="0" w:space="0" w:color="auto"/>
        <w:bottom w:val="none" w:sz="0" w:space="0" w:color="auto"/>
        <w:right w:val="none" w:sz="0" w:space="0" w:color="auto"/>
      </w:divBdr>
    </w:div>
    <w:div w:id="1945920199">
      <w:bodyDiv w:val="1"/>
      <w:marLeft w:val="0"/>
      <w:marRight w:val="0"/>
      <w:marTop w:val="0"/>
      <w:marBottom w:val="0"/>
      <w:divBdr>
        <w:top w:val="none" w:sz="0" w:space="0" w:color="auto"/>
        <w:left w:val="none" w:sz="0" w:space="0" w:color="auto"/>
        <w:bottom w:val="none" w:sz="0" w:space="0" w:color="auto"/>
        <w:right w:val="none" w:sz="0" w:space="0" w:color="auto"/>
      </w:divBdr>
    </w:div>
    <w:div w:id="19921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rpst.rit.albany.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icp.rit.albany.edu/index.php/implementation-resources/icp-implementation-aids?start=3"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un.org/ga/search/view_doc.asp?symbol=S/RES/1540(2004)"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icp.rit.albany.edu/index.php/the-elements-of-an-internal-compliance-program/transaction-screening-process-and-procedures?limitstart=0" TargetMode="External"/><Relationship Id="rId27" Type="http://schemas.openxmlformats.org/officeDocument/2006/relationships/hyperlink" Target="http://icp.rit.albany.edu/index.php/implementation-resources/icp-implementation-aids?start=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C1AE69-1AF0-4730-8DFB-EC60436FB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3007</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 CATHIE</dc:creator>
  <cp:lastModifiedBy>RYAN L. CATHIE</cp:lastModifiedBy>
  <cp:revision>3</cp:revision>
  <dcterms:created xsi:type="dcterms:W3CDTF">2017-02-13T22:27:00Z</dcterms:created>
  <dcterms:modified xsi:type="dcterms:W3CDTF">2017-03-03T13:22:00Z</dcterms:modified>
</cp:coreProperties>
</file>